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866" w:rsidRPr="00397866" w:rsidRDefault="00397866" w:rsidP="00397866">
      <w:pPr>
        <w:spacing w:line="276" w:lineRule="auto"/>
        <w:rPr>
          <w:rFonts w:ascii="Calibri" w:hAnsi="Calibri"/>
          <w:b/>
          <w:color w:val="000000"/>
          <w:sz w:val="28"/>
        </w:rPr>
      </w:pPr>
      <w:bookmarkStart w:id="0" w:name="_GoBack"/>
      <w:bookmarkEnd w:id="0"/>
      <w:r w:rsidRPr="00397866">
        <w:rPr>
          <w:rFonts w:ascii="Calibri" w:hAnsi="Calibri"/>
          <w:b/>
          <w:color w:val="000000"/>
          <w:sz w:val="28"/>
        </w:rPr>
        <w:t>DIPARTIMENTO</w:t>
      </w:r>
      <w:r w:rsidR="00C50912">
        <w:rPr>
          <w:rFonts w:ascii="Calibri" w:hAnsi="Calibri"/>
          <w:b/>
          <w:color w:val="000000"/>
          <w:sz w:val="28"/>
        </w:rPr>
        <w:t xml:space="preserve"> DI </w:t>
      </w:r>
      <w:r w:rsidR="00571AEF">
        <w:rPr>
          <w:rFonts w:ascii="Calibri" w:hAnsi="Calibri"/>
          <w:b/>
          <w:color w:val="000000"/>
          <w:sz w:val="28"/>
        </w:rPr>
        <w:tab/>
      </w:r>
      <w:r w:rsidR="00C50912">
        <w:rPr>
          <w:rFonts w:ascii="Calibri" w:hAnsi="Calibri"/>
          <w:b/>
          <w:color w:val="000000"/>
          <w:sz w:val="28"/>
        </w:rPr>
        <w:t>FARMACIA</w:t>
      </w:r>
    </w:p>
    <w:p w:rsidR="00397866" w:rsidRPr="00397866" w:rsidRDefault="00397866" w:rsidP="00397866">
      <w:pPr>
        <w:spacing w:line="276" w:lineRule="auto"/>
        <w:rPr>
          <w:rFonts w:ascii="Calibri" w:hAnsi="Calibri"/>
          <w:b/>
          <w:color w:val="000000"/>
          <w:sz w:val="28"/>
        </w:rPr>
      </w:pPr>
    </w:p>
    <w:p w:rsidR="00397866" w:rsidRPr="00397866" w:rsidRDefault="00397866" w:rsidP="00397866">
      <w:pPr>
        <w:spacing w:line="276" w:lineRule="auto"/>
        <w:rPr>
          <w:rFonts w:ascii="Calibri" w:hAnsi="Calibri"/>
          <w:b/>
          <w:color w:val="000000"/>
          <w:sz w:val="28"/>
        </w:rPr>
      </w:pPr>
      <w:r w:rsidRPr="00397866">
        <w:rPr>
          <w:rFonts w:ascii="Calibri" w:hAnsi="Calibri"/>
          <w:b/>
          <w:color w:val="000000"/>
          <w:sz w:val="28"/>
        </w:rPr>
        <w:t>CORSO DI LAUREA</w:t>
      </w:r>
      <w:r w:rsidR="00C50912">
        <w:rPr>
          <w:rFonts w:ascii="Calibri" w:hAnsi="Calibri"/>
          <w:b/>
          <w:color w:val="000000"/>
          <w:sz w:val="28"/>
        </w:rPr>
        <w:t xml:space="preserve"> IN </w:t>
      </w:r>
      <w:r w:rsidR="00571AEF">
        <w:rPr>
          <w:rFonts w:ascii="Calibri" w:hAnsi="Calibri"/>
          <w:b/>
          <w:color w:val="000000"/>
          <w:sz w:val="28"/>
        </w:rPr>
        <w:tab/>
      </w:r>
      <w:r w:rsidR="00C50912">
        <w:rPr>
          <w:rFonts w:ascii="Calibri" w:hAnsi="Calibri"/>
          <w:b/>
          <w:color w:val="000000"/>
          <w:sz w:val="28"/>
        </w:rPr>
        <w:t>FARMACIA</w:t>
      </w:r>
    </w:p>
    <w:p w:rsidR="00397866" w:rsidRDefault="00397866" w:rsidP="00397866">
      <w:pPr>
        <w:spacing w:line="276" w:lineRule="auto"/>
        <w:rPr>
          <w:rFonts w:ascii="Calibri" w:hAnsi="Calibri"/>
          <w:b/>
          <w:color w:val="000000"/>
        </w:rPr>
      </w:pPr>
    </w:p>
    <w:p w:rsidR="00397866" w:rsidRPr="00397866" w:rsidRDefault="00397866" w:rsidP="00397866">
      <w:pPr>
        <w:spacing w:line="276" w:lineRule="auto"/>
        <w:rPr>
          <w:rFonts w:ascii="Calibri" w:hAnsi="Calibri"/>
          <w:b/>
          <w:color w:val="000000"/>
          <w:sz w:val="28"/>
        </w:rPr>
      </w:pPr>
      <w:r w:rsidRPr="00397866">
        <w:rPr>
          <w:rFonts w:ascii="Calibri" w:hAnsi="Calibri"/>
          <w:b/>
          <w:color w:val="000000"/>
          <w:sz w:val="28"/>
        </w:rPr>
        <w:t>DOCENTE</w:t>
      </w:r>
      <w:r w:rsidR="00571AEF">
        <w:rPr>
          <w:rFonts w:ascii="Calibri" w:hAnsi="Calibri"/>
          <w:b/>
          <w:color w:val="000000"/>
          <w:sz w:val="28"/>
        </w:rPr>
        <w:tab/>
      </w:r>
      <w:r w:rsidR="00B84B2C">
        <w:rPr>
          <w:rFonts w:ascii="Calibri" w:hAnsi="Calibri"/>
          <w:b/>
          <w:color w:val="000000"/>
          <w:sz w:val="28"/>
        </w:rPr>
        <w:tab/>
      </w:r>
      <w:r w:rsidR="00B84B2C">
        <w:rPr>
          <w:rFonts w:ascii="Calibri" w:hAnsi="Calibri"/>
          <w:b/>
          <w:color w:val="000000"/>
          <w:sz w:val="28"/>
        </w:rPr>
        <w:tab/>
      </w:r>
      <w:r w:rsidR="00C50912">
        <w:rPr>
          <w:rFonts w:ascii="Calibri" w:hAnsi="Calibri"/>
          <w:b/>
          <w:color w:val="000000"/>
          <w:sz w:val="28"/>
        </w:rPr>
        <w:t xml:space="preserve"> ANTONIETTA ROSSI</w:t>
      </w:r>
    </w:p>
    <w:p w:rsidR="00397866" w:rsidRDefault="001A212F" w:rsidP="00397866">
      <w:pPr>
        <w:spacing w:line="360" w:lineRule="auto"/>
        <w:rPr>
          <w:rFonts w:ascii="Calibri" w:hAnsi="Calibri"/>
          <w:b/>
          <w:color w:val="000000"/>
        </w:rPr>
      </w:pPr>
      <w:r>
        <w:rPr>
          <w:rFonts w:ascii="Calibri" w:hAnsi="Calibri"/>
          <w:b/>
          <w:noProof/>
          <w:color w:val="000000"/>
          <w:lang w:eastAsia="it-IT"/>
        </w:rPr>
        <mc:AlternateContent>
          <mc:Choice Requires="wps">
            <w:drawing>
              <wp:anchor distT="0" distB="0" distL="114300" distR="114300" simplePos="0" relativeHeight="251642880" behindDoc="0" locked="0" layoutInCell="1" allowOverlap="1">
                <wp:simplePos x="0" y="0"/>
                <wp:positionH relativeFrom="column">
                  <wp:posOffset>-45085</wp:posOffset>
                </wp:positionH>
                <wp:positionV relativeFrom="paragraph">
                  <wp:posOffset>228600</wp:posOffset>
                </wp:positionV>
                <wp:extent cx="6271260" cy="3308985"/>
                <wp:effectExtent l="57150" t="19050" r="72390" b="10096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1260" cy="330898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210B0" id="Rettangolo 1" o:spid="_x0000_s1026" style="position:absolute;margin-left:-3.55pt;margin-top:18pt;width:493.8pt;height:260.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" filled="f" strokecolor="#4579b8 [3044]">
                <v:shadow on="t" color="black" opacity="22937f" origin=",.5" offset="0,.63889mm"/>
                <v:path arrowok="t"/>
              </v:rect>
            </w:pict>
          </mc:Fallback>
        </mc:AlternateContent>
      </w:r>
    </w:p>
    <w:p w:rsidR="002B6BBE" w:rsidRPr="00397866" w:rsidRDefault="002B6BBE" w:rsidP="00397866">
      <w:pPr>
        <w:spacing w:line="276" w:lineRule="auto"/>
        <w:rPr>
          <w:rFonts w:ascii="Calibri" w:hAnsi="Calibri"/>
          <w:b/>
          <w:color w:val="000000"/>
          <w:u w:val="single"/>
        </w:rPr>
      </w:pPr>
      <w:r w:rsidRPr="00397866">
        <w:rPr>
          <w:rFonts w:ascii="Calibri" w:hAnsi="Calibri"/>
          <w:b/>
          <w:color w:val="000000"/>
          <w:u w:val="single"/>
        </w:rPr>
        <w:t>INSEGNAMENTO</w:t>
      </w:r>
      <w:r w:rsidR="003C701B">
        <w:rPr>
          <w:rFonts w:ascii="Calibri" w:hAnsi="Calibri"/>
          <w:b/>
          <w:color w:val="000000"/>
          <w:u w:val="single"/>
        </w:rPr>
        <w:t xml:space="preserve"> </w:t>
      </w:r>
      <w:r w:rsidR="003C701B" w:rsidRPr="003C701B">
        <w:rPr>
          <w:rFonts w:ascii="Calibri" w:hAnsi="Calibri"/>
          <w:b/>
          <w:color w:val="000000"/>
        </w:rPr>
        <w:tab/>
      </w:r>
      <w:r w:rsidR="003C701B" w:rsidRPr="003C701B">
        <w:rPr>
          <w:rFonts w:ascii="Calibri" w:hAnsi="Calibri"/>
          <w:b/>
          <w:color w:val="000000"/>
        </w:rPr>
        <w:tab/>
      </w:r>
      <w:r w:rsidR="003C701B" w:rsidRPr="003C701B">
        <w:rPr>
          <w:rFonts w:ascii="Calibri" w:hAnsi="Calibri"/>
          <w:b/>
          <w:color w:val="000000"/>
        </w:rPr>
        <w:tab/>
      </w:r>
      <w:r w:rsidR="003C701B" w:rsidRPr="003C701B">
        <w:rPr>
          <w:rFonts w:ascii="Calibri" w:hAnsi="Calibri"/>
          <w:b/>
          <w:color w:val="000000"/>
        </w:rPr>
        <w:tab/>
      </w:r>
      <w:r w:rsidR="003C701B" w:rsidRPr="003C701B">
        <w:rPr>
          <w:rFonts w:ascii="Calibri" w:hAnsi="Calibri"/>
          <w:b/>
          <w:color w:val="000000"/>
        </w:rPr>
        <w:tab/>
      </w:r>
      <w:r w:rsidR="00C50912" w:rsidRPr="003C701B">
        <w:rPr>
          <w:rFonts w:ascii="Calibri" w:hAnsi="Calibri"/>
          <w:b/>
          <w:color w:val="000000"/>
        </w:rPr>
        <w:t>FARMACOVIGILANZA</w:t>
      </w:r>
    </w:p>
    <w:p w:rsidR="002B6BBE" w:rsidRPr="002169AE" w:rsidRDefault="002B6BBE" w:rsidP="00397866">
      <w:pPr>
        <w:spacing w:line="276" w:lineRule="auto"/>
        <w:rPr>
          <w:rFonts w:ascii="Calibri" w:hAnsi="Calibri"/>
          <w:b/>
          <w:color w:val="000000"/>
        </w:rPr>
      </w:pPr>
    </w:p>
    <w:p w:rsidR="002B6BBE" w:rsidRPr="003C701B" w:rsidRDefault="002B6BBE" w:rsidP="00397866">
      <w:pPr>
        <w:spacing w:line="276" w:lineRule="auto"/>
        <w:rPr>
          <w:rFonts w:ascii="Calibri" w:hAnsi="Calibri"/>
          <w:color w:val="000000"/>
        </w:rPr>
      </w:pPr>
      <w:r w:rsidRPr="002169AE">
        <w:rPr>
          <w:rFonts w:ascii="Calibri" w:hAnsi="Calibri"/>
          <w:b/>
          <w:color w:val="000000"/>
        </w:rPr>
        <w:t>Tipologia di insegnamento</w:t>
      </w:r>
      <w:r w:rsidR="00C50912">
        <w:rPr>
          <w:rFonts w:ascii="Calibri" w:hAnsi="Calibri"/>
          <w:b/>
          <w:color w:val="000000"/>
        </w:rPr>
        <w:t xml:space="preserve"> </w:t>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3C701B" w:rsidRPr="003C701B">
        <w:rPr>
          <w:rFonts w:ascii="Calibri" w:hAnsi="Calibri"/>
          <w:color w:val="000000"/>
        </w:rPr>
        <w:t>A SCELTA</w:t>
      </w:r>
    </w:p>
    <w:p w:rsidR="002B6BBE" w:rsidRPr="002169AE" w:rsidRDefault="002B6BBE" w:rsidP="00397866">
      <w:pPr>
        <w:spacing w:line="276" w:lineRule="auto"/>
        <w:rPr>
          <w:rFonts w:ascii="Calibri" w:hAnsi="Calibri"/>
          <w:b/>
          <w:color w:val="000000"/>
        </w:rPr>
      </w:pPr>
    </w:p>
    <w:p w:rsidR="002B6BBE" w:rsidRPr="003C701B" w:rsidRDefault="002B6BBE" w:rsidP="00397866">
      <w:pPr>
        <w:spacing w:line="276" w:lineRule="auto"/>
        <w:rPr>
          <w:rFonts w:ascii="Calibri" w:hAnsi="Calibri"/>
          <w:color w:val="000000"/>
        </w:rPr>
      </w:pPr>
      <w:r w:rsidRPr="002169AE">
        <w:rPr>
          <w:rFonts w:ascii="Calibri" w:hAnsi="Calibri"/>
          <w:b/>
          <w:color w:val="000000"/>
        </w:rPr>
        <w:t>Crediti formativi (CFU)</w:t>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C50912" w:rsidRPr="003C701B">
        <w:rPr>
          <w:rFonts w:ascii="Calibri" w:hAnsi="Calibri"/>
          <w:color w:val="000000"/>
        </w:rPr>
        <w:t>6</w:t>
      </w:r>
    </w:p>
    <w:p w:rsidR="002B6BBE" w:rsidRDefault="002B6BBE" w:rsidP="00397866">
      <w:pPr>
        <w:spacing w:line="276" w:lineRule="auto"/>
        <w:rPr>
          <w:rFonts w:ascii="Calibri" w:hAnsi="Calibri"/>
          <w:b/>
          <w:color w:val="000000"/>
        </w:rPr>
      </w:pPr>
    </w:p>
    <w:p w:rsidR="002B6BBE" w:rsidRPr="003C701B" w:rsidRDefault="002B6BBE" w:rsidP="00397866">
      <w:pPr>
        <w:spacing w:line="276" w:lineRule="auto"/>
        <w:rPr>
          <w:rFonts w:ascii="Calibri" w:hAnsi="Calibri"/>
          <w:color w:val="000000"/>
        </w:rPr>
      </w:pPr>
      <w:r>
        <w:rPr>
          <w:rFonts w:ascii="Calibri" w:hAnsi="Calibri"/>
          <w:b/>
          <w:color w:val="000000"/>
        </w:rPr>
        <w:t>S</w:t>
      </w:r>
      <w:r w:rsidRPr="002169AE">
        <w:rPr>
          <w:rFonts w:ascii="Calibri" w:hAnsi="Calibri"/>
          <w:b/>
          <w:color w:val="000000"/>
        </w:rPr>
        <w:t xml:space="preserve">ettore Scientifico disciplinare (SSD) </w:t>
      </w:r>
      <w:r w:rsidR="003C701B">
        <w:rPr>
          <w:rFonts w:ascii="Calibri" w:hAnsi="Calibri"/>
          <w:b/>
          <w:color w:val="000000"/>
        </w:rPr>
        <w:tab/>
      </w:r>
      <w:r w:rsidR="003C701B">
        <w:rPr>
          <w:rFonts w:ascii="Calibri" w:hAnsi="Calibri"/>
          <w:b/>
          <w:color w:val="000000"/>
        </w:rPr>
        <w:tab/>
      </w:r>
      <w:r w:rsidR="00C50912" w:rsidRPr="003C701B">
        <w:rPr>
          <w:rFonts w:ascii="Calibri" w:hAnsi="Calibri"/>
          <w:color w:val="000000"/>
        </w:rPr>
        <w:t>BIO14</w:t>
      </w:r>
    </w:p>
    <w:p w:rsidR="002B6BBE" w:rsidRPr="002169AE" w:rsidRDefault="002B6BBE" w:rsidP="00397866">
      <w:pPr>
        <w:spacing w:line="276" w:lineRule="auto"/>
        <w:rPr>
          <w:rFonts w:ascii="Calibri" w:hAnsi="Calibri"/>
          <w:b/>
          <w:color w:val="000000"/>
        </w:rPr>
      </w:pPr>
    </w:p>
    <w:p w:rsidR="002B6BBE" w:rsidRDefault="002B6BBE" w:rsidP="00397866">
      <w:pPr>
        <w:spacing w:line="276" w:lineRule="auto"/>
        <w:rPr>
          <w:rFonts w:ascii="Calibri" w:hAnsi="Calibri"/>
          <w:b/>
          <w:color w:val="000000"/>
        </w:rPr>
      </w:pPr>
      <w:r w:rsidRPr="002169AE">
        <w:rPr>
          <w:rFonts w:ascii="Calibri" w:hAnsi="Calibri"/>
          <w:b/>
          <w:color w:val="000000"/>
        </w:rPr>
        <w:t xml:space="preserve">Posizionamento nel calendario didattico </w:t>
      </w:r>
      <w:r w:rsidR="003C701B">
        <w:rPr>
          <w:rFonts w:ascii="Calibri" w:hAnsi="Calibri"/>
          <w:b/>
          <w:color w:val="000000"/>
        </w:rPr>
        <w:tab/>
      </w:r>
      <w:r w:rsidR="003C701B">
        <w:rPr>
          <w:rFonts w:ascii="Calibri" w:hAnsi="Calibri"/>
          <w:b/>
          <w:color w:val="000000"/>
        </w:rPr>
        <w:tab/>
      </w:r>
      <w:r w:rsidR="00C50912" w:rsidRPr="003C701B">
        <w:rPr>
          <w:rFonts w:ascii="Calibri" w:hAnsi="Calibri"/>
          <w:color w:val="000000"/>
        </w:rPr>
        <w:t>II SEMESTRE</w:t>
      </w:r>
    </w:p>
    <w:p w:rsidR="002B6BBE" w:rsidRPr="002169AE" w:rsidRDefault="002B6BBE" w:rsidP="00397866">
      <w:pPr>
        <w:spacing w:line="276" w:lineRule="auto"/>
        <w:rPr>
          <w:rFonts w:ascii="Calibri" w:hAnsi="Calibri"/>
          <w:b/>
          <w:color w:val="000000"/>
        </w:rPr>
      </w:pPr>
    </w:p>
    <w:p w:rsidR="002B6BBE" w:rsidRPr="003B5F2C" w:rsidRDefault="002B6BBE" w:rsidP="00397866">
      <w:pPr>
        <w:spacing w:line="276" w:lineRule="auto"/>
        <w:rPr>
          <w:rFonts w:ascii="Calibri" w:hAnsi="Calibri"/>
          <w:color w:val="000000"/>
        </w:rPr>
      </w:pPr>
      <w:r w:rsidRPr="002169AE">
        <w:rPr>
          <w:rFonts w:ascii="Calibri" w:hAnsi="Calibri"/>
          <w:b/>
          <w:color w:val="000000"/>
        </w:rPr>
        <w:t>Prerequisiti</w:t>
      </w:r>
      <w:r w:rsidR="003B5F2C">
        <w:rPr>
          <w:rFonts w:ascii="Calibri" w:hAnsi="Calibri"/>
          <w:b/>
          <w:color w:val="000000"/>
        </w:rPr>
        <w:t xml:space="preserve"> </w:t>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3B5F2C" w:rsidRPr="003B5F2C">
        <w:rPr>
          <w:rFonts w:ascii="Calibri" w:hAnsi="Calibri"/>
          <w:color w:val="000000"/>
        </w:rPr>
        <w:t>N</w:t>
      </w:r>
      <w:r w:rsidR="003C701B">
        <w:rPr>
          <w:rFonts w:ascii="Calibri" w:hAnsi="Calibri"/>
          <w:color w:val="000000"/>
        </w:rPr>
        <w:t>ozioni generali di Farmacologia</w:t>
      </w:r>
    </w:p>
    <w:p w:rsidR="002B6BBE" w:rsidRDefault="002B6BBE" w:rsidP="00397866">
      <w:pPr>
        <w:spacing w:line="276" w:lineRule="auto"/>
        <w:rPr>
          <w:rFonts w:ascii="Calibri" w:hAnsi="Calibri"/>
          <w:b/>
          <w:color w:val="000000"/>
        </w:rPr>
      </w:pPr>
    </w:p>
    <w:p w:rsidR="002B6BBE" w:rsidRPr="00FA62A1" w:rsidRDefault="002B6BBE" w:rsidP="00397866">
      <w:pPr>
        <w:spacing w:line="276" w:lineRule="auto"/>
        <w:rPr>
          <w:rFonts w:ascii="Calibri" w:hAnsi="Calibri"/>
          <w:color w:val="000000"/>
        </w:rPr>
      </w:pPr>
      <w:r w:rsidRPr="002169AE">
        <w:rPr>
          <w:rFonts w:ascii="Calibri" w:hAnsi="Calibri"/>
          <w:b/>
          <w:color w:val="000000"/>
        </w:rPr>
        <w:t>Propedeuticità</w:t>
      </w:r>
      <w:r w:rsidR="00FA62A1">
        <w:rPr>
          <w:rFonts w:ascii="Calibri" w:hAnsi="Calibri"/>
          <w:b/>
          <w:color w:val="000000"/>
        </w:rPr>
        <w:t xml:space="preserve"> </w:t>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3C701B">
        <w:rPr>
          <w:rFonts w:ascii="Calibri" w:hAnsi="Calibri"/>
          <w:b/>
          <w:color w:val="000000"/>
        </w:rPr>
        <w:tab/>
      </w:r>
      <w:r w:rsidR="00FA62A1">
        <w:rPr>
          <w:rFonts w:ascii="Calibri" w:hAnsi="Calibri"/>
          <w:color w:val="000000"/>
        </w:rPr>
        <w:t>N</w:t>
      </w:r>
      <w:r w:rsidR="00FA62A1" w:rsidRPr="00FA62A1">
        <w:rPr>
          <w:rFonts w:ascii="Calibri" w:hAnsi="Calibri"/>
          <w:color w:val="000000"/>
        </w:rPr>
        <w:t>essuna</w:t>
      </w:r>
    </w:p>
    <w:p w:rsidR="002B6BBE" w:rsidRDefault="002B6BBE" w:rsidP="00397866">
      <w:pPr>
        <w:spacing w:line="480" w:lineRule="auto"/>
        <w:rPr>
          <w:rFonts w:ascii="Calibri" w:hAnsi="Calibri"/>
          <w:b/>
          <w:color w:val="000000"/>
        </w:rPr>
      </w:pPr>
    </w:p>
    <w:p w:rsidR="00397866" w:rsidRDefault="00397866" w:rsidP="00397866">
      <w:pPr>
        <w:spacing w:line="480" w:lineRule="auto"/>
        <w:rPr>
          <w:rFonts w:ascii="Calibri" w:hAnsi="Calibri"/>
          <w:b/>
          <w:color w:val="000000"/>
        </w:rPr>
      </w:pPr>
    </w:p>
    <w:p w:rsidR="002B6BBE" w:rsidRDefault="002B6BBE" w:rsidP="002B6BBE">
      <w:pPr>
        <w:rPr>
          <w:rFonts w:ascii="Calibri" w:hAnsi="Calibri"/>
          <w:b/>
          <w:color w:val="000000"/>
          <w:u w:val="single"/>
        </w:rPr>
      </w:pPr>
      <w:r w:rsidRPr="00397866">
        <w:rPr>
          <w:rFonts w:ascii="Calibri" w:hAnsi="Calibri"/>
          <w:b/>
          <w:color w:val="000000"/>
          <w:u w:val="single"/>
        </w:rPr>
        <w:t>PROGRAMMA DEL CORSO</w:t>
      </w:r>
    </w:p>
    <w:p w:rsidR="00F8526A" w:rsidRPr="00B84B2C" w:rsidRDefault="00F8526A" w:rsidP="00F8526A">
      <w:pPr>
        <w:pStyle w:val="NormaleWeb"/>
        <w:rPr>
          <w:rFonts w:asciiTheme="majorHAnsi" w:hAnsiTheme="majorHAnsi" w:cstheme="majorHAnsi"/>
        </w:rPr>
      </w:pPr>
      <w:r w:rsidRPr="00B84B2C">
        <w:rPr>
          <w:rFonts w:asciiTheme="majorHAnsi" w:hAnsiTheme="majorHAnsi" w:cstheme="majorHAnsi"/>
        </w:rPr>
        <w:t>Introduzione alla farmacovigilanza</w:t>
      </w:r>
      <w:r w:rsidRPr="00B84B2C">
        <w:rPr>
          <w:rFonts w:asciiTheme="majorHAnsi" w:hAnsiTheme="majorHAnsi" w:cstheme="majorHAnsi"/>
        </w:rPr>
        <w:br/>
        <w:t>-Scopo della Farmacovigilanza, cenni storici</w:t>
      </w:r>
      <w:r w:rsidRPr="00B84B2C">
        <w:rPr>
          <w:rFonts w:asciiTheme="majorHAnsi" w:hAnsiTheme="majorHAnsi" w:cstheme="majorHAnsi"/>
        </w:rPr>
        <w:br/>
        <w:t>- Iter di un farmaco: Sperimentazione pre-marketing e post-marketing. Informazioni fornite dagli studi di pre-marketing; vantaggi e limiti degli studi di pre-marketing</w:t>
      </w:r>
      <w:r w:rsidRPr="00B84B2C">
        <w:rPr>
          <w:rFonts w:asciiTheme="majorHAnsi" w:hAnsiTheme="majorHAnsi" w:cstheme="majorHAnsi"/>
        </w:rPr>
        <w:br/>
        <w:t>Reazioni avverse ai farmaci</w:t>
      </w:r>
      <w:r w:rsidRPr="00B84B2C">
        <w:rPr>
          <w:rFonts w:asciiTheme="majorHAnsi" w:hAnsiTheme="majorHAnsi" w:cstheme="majorHAnsi"/>
        </w:rPr>
        <w:br/>
        <w:t>-Definizioni in Farmacovigilanza (effetto collaterale, evento avverso, reazione avversa)</w:t>
      </w:r>
      <w:r w:rsidRPr="00B84B2C">
        <w:rPr>
          <w:rFonts w:asciiTheme="majorHAnsi" w:hAnsiTheme="majorHAnsi" w:cstheme="majorHAnsi"/>
        </w:rPr>
        <w:br/>
        <w:t>-Classificazione delle reazioni avverse (RA)</w:t>
      </w:r>
      <w:r w:rsidRPr="00B84B2C">
        <w:rPr>
          <w:rFonts w:asciiTheme="majorHAnsi" w:hAnsiTheme="majorHAnsi" w:cstheme="majorHAnsi"/>
        </w:rPr>
        <w:br/>
        <w:t>-Fattori che rendono difficile l’identificazione delle RA</w:t>
      </w:r>
      <w:r w:rsidRPr="00B84B2C">
        <w:rPr>
          <w:rFonts w:asciiTheme="majorHAnsi" w:hAnsiTheme="majorHAnsi" w:cstheme="majorHAnsi"/>
        </w:rPr>
        <w:br/>
        <w:t>-Gravità delle RA (livelli I, II, III, IV, VI, VII)</w:t>
      </w:r>
      <w:r w:rsidRPr="00B84B2C">
        <w:rPr>
          <w:rFonts w:asciiTheme="majorHAnsi" w:hAnsiTheme="majorHAnsi" w:cstheme="majorHAnsi"/>
        </w:rPr>
        <w:br/>
        <w:t>- Valutazione del nesso di causalità: relazione temporale, dechallenge e rechallenge, spiegazioni alternative, dati letteratura, algoritmo di Naranjo e OMS</w:t>
      </w:r>
      <w:r w:rsidRPr="00B84B2C">
        <w:rPr>
          <w:rFonts w:asciiTheme="majorHAnsi" w:hAnsiTheme="majorHAnsi" w:cstheme="majorHAnsi"/>
        </w:rPr>
        <w:br/>
        <w:t>- Criteri per stabilire se una RA è prevedibile e quindi prevenibile</w:t>
      </w:r>
      <w:r w:rsidRPr="00B84B2C">
        <w:rPr>
          <w:rFonts w:asciiTheme="majorHAnsi" w:hAnsiTheme="majorHAnsi" w:cstheme="majorHAnsi"/>
        </w:rPr>
        <w:br/>
        <w:t>-Relazione tra farmacocinetica di un farmaco e comparsa delle RA</w:t>
      </w:r>
      <w:r w:rsidRPr="00B84B2C">
        <w:rPr>
          <w:rFonts w:asciiTheme="majorHAnsi" w:hAnsiTheme="majorHAnsi" w:cstheme="majorHAnsi"/>
        </w:rPr>
        <w:br/>
        <w:t>-Relazione fra fattori patologici e RA</w:t>
      </w:r>
      <w:r w:rsidRPr="00B84B2C">
        <w:rPr>
          <w:rFonts w:asciiTheme="majorHAnsi" w:hAnsiTheme="majorHAnsi" w:cstheme="majorHAnsi"/>
        </w:rPr>
        <w:br/>
        <w:t>-Dipendenza delle RA dalle interazioni tra farmaci o tra farmaci ed alimenti</w:t>
      </w:r>
      <w:r w:rsidRPr="00B84B2C">
        <w:rPr>
          <w:rFonts w:asciiTheme="majorHAnsi" w:hAnsiTheme="majorHAnsi" w:cstheme="majorHAnsi"/>
        </w:rPr>
        <w:br/>
        <w:t>-Patologie iatrogene indotte dai farmaci</w:t>
      </w:r>
      <w:r w:rsidRPr="00B84B2C">
        <w:rPr>
          <w:rFonts w:asciiTheme="majorHAnsi" w:hAnsiTheme="majorHAnsi" w:cstheme="majorHAnsi"/>
        </w:rPr>
        <w:br/>
        <w:t xml:space="preserve">-Alterazione dei parametri di laboratorio indotta dai farmaci </w:t>
      </w:r>
      <w:r w:rsidRPr="00B84B2C">
        <w:rPr>
          <w:rFonts w:asciiTheme="majorHAnsi" w:hAnsiTheme="majorHAnsi" w:cstheme="majorHAnsi"/>
        </w:rPr>
        <w:br/>
        <w:t>-Posologia dei farmaci e modifiche dopo l’introduzione in commercio: RA e dosaggio</w:t>
      </w:r>
      <w:r w:rsidRPr="00B84B2C">
        <w:rPr>
          <w:rFonts w:asciiTheme="majorHAnsi" w:hAnsiTheme="majorHAnsi" w:cstheme="majorHAnsi"/>
        </w:rPr>
        <w:br/>
        <w:t>-RA e difetti di fabbricazione: il ruolo del farmacista</w:t>
      </w:r>
    </w:p>
    <w:p w:rsidR="00B84B2C" w:rsidRPr="00B84B2C" w:rsidRDefault="00F8526A" w:rsidP="00F8526A">
      <w:pPr>
        <w:pStyle w:val="NormaleWeb"/>
        <w:rPr>
          <w:rFonts w:asciiTheme="majorHAnsi" w:hAnsiTheme="majorHAnsi" w:cstheme="majorHAnsi"/>
        </w:rPr>
      </w:pPr>
      <w:r w:rsidRPr="00B84B2C">
        <w:rPr>
          <w:rFonts w:asciiTheme="majorHAnsi" w:hAnsiTheme="majorHAnsi" w:cstheme="majorHAnsi"/>
        </w:rPr>
        <w:t>Metodologie in Farmacovigilanza</w:t>
      </w:r>
    </w:p>
    <w:p w:rsidR="00B84B2C" w:rsidRPr="00B84B2C" w:rsidRDefault="00B84B2C" w:rsidP="00F8526A">
      <w:pPr>
        <w:pStyle w:val="NormaleWeb"/>
        <w:rPr>
          <w:rFonts w:asciiTheme="majorHAnsi" w:hAnsiTheme="majorHAnsi" w:cstheme="majorHAnsi"/>
        </w:rPr>
      </w:pPr>
    </w:p>
    <w:p w:rsidR="00F8526A" w:rsidRPr="00B84B2C" w:rsidRDefault="00F8526A" w:rsidP="00F8526A">
      <w:pPr>
        <w:pStyle w:val="NormaleWeb"/>
        <w:rPr>
          <w:rFonts w:asciiTheme="majorHAnsi" w:hAnsiTheme="majorHAnsi" w:cstheme="majorHAnsi"/>
        </w:rPr>
      </w:pPr>
      <w:r w:rsidRPr="00B84B2C">
        <w:rPr>
          <w:rFonts w:asciiTheme="majorHAnsi" w:hAnsiTheme="majorHAnsi" w:cstheme="majorHAnsi"/>
        </w:rPr>
        <w:t>Farmacovigilanza passiva: la segnalazione spontanea</w:t>
      </w:r>
      <w:r w:rsidRPr="00B84B2C">
        <w:rPr>
          <w:rFonts w:asciiTheme="majorHAnsi" w:hAnsiTheme="majorHAnsi" w:cstheme="majorHAnsi"/>
        </w:rPr>
        <w:br/>
        <w:t>-Potenzialità delle segnalazioni spontanee</w:t>
      </w:r>
      <w:r w:rsidRPr="00B84B2C">
        <w:rPr>
          <w:rFonts w:asciiTheme="majorHAnsi" w:hAnsiTheme="majorHAnsi" w:cstheme="majorHAnsi"/>
        </w:rPr>
        <w:br/>
        <w:t>-Segnalazioni di una RA: criteri da seguire</w:t>
      </w:r>
      <w:r w:rsidRPr="00B84B2C">
        <w:rPr>
          <w:rFonts w:asciiTheme="majorHAnsi" w:hAnsiTheme="majorHAnsi" w:cstheme="majorHAnsi"/>
        </w:rPr>
        <w:br/>
        <w:t>-Fattori che influenzano l’attendibilità di una segnalazione</w:t>
      </w:r>
      <w:r w:rsidRPr="00B84B2C">
        <w:rPr>
          <w:rFonts w:asciiTheme="majorHAnsi" w:hAnsiTheme="majorHAnsi" w:cstheme="majorHAnsi"/>
        </w:rPr>
        <w:br/>
        <w:t xml:space="preserve">-Fenomeno dell’under-reporting e dell’over-reporting </w:t>
      </w:r>
      <w:r w:rsidRPr="00B84B2C">
        <w:rPr>
          <w:rFonts w:asciiTheme="majorHAnsi" w:hAnsiTheme="majorHAnsi" w:cstheme="majorHAnsi"/>
        </w:rPr>
        <w:br/>
        <w:t>-Metodi da seguire per valutare se una segnalazione può essere considerata come segnale di allarme</w:t>
      </w:r>
      <w:r w:rsidRPr="00B84B2C">
        <w:rPr>
          <w:rFonts w:asciiTheme="majorHAnsi" w:hAnsiTheme="majorHAnsi" w:cstheme="majorHAnsi"/>
        </w:rPr>
        <w:br/>
        <w:t>-Fattori da considerare per ciascuna segnalazione di una RA indotta da un farmaco: casualità – documentazione della segnalazione – frequenza delle segnalazioni – gravità delle RA – potenzialità del rischio – meccanismo di azione del farmaco – effetto di classe – studi pre-clinici trials clinici – studi epidemiologici</w:t>
      </w:r>
      <w:r w:rsidRPr="00B84B2C">
        <w:rPr>
          <w:rFonts w:asciiTheme="majorHAnsi" w:hAnsiTheme="majorHAnsi" w:cstheme="majorHAnsi"/>
        </w:rPr>
        <w:br/>
        <w:t>-Confronto tra le segnalazioni: tasso di segnalazione di eventi legati ad un farmaco</w:t>
      </w:r>
      <w:r w:rsidRPr="00B84B2C">
        <w:rPr>
          <w:rFonts w:asciiTheme="majorHAnsi" w:hAnsiTheme="majorHAnsi" w:cstheme="majorHAnsi"/>
        </w:rPr>
        <w:br/>
        <w:t>-Ricerca mediante data-base delle combinazioni farmaco/evento: calcolo del Proportional reporting ratio (PRR)</w:t>
      </w:r>
      <w:r w:rsidRPr="00B84B2C">
        <w:rPr>
          <w:rFonts w:asciiTheme="majorHAnsi" w:hAnsiTheme="majorHAnsi" w:cstheme="majorHAnsi"/>
        </w:rPr>
        <w:br/>
        <w:t>-Iter di una segnalazione</w:t>
      </w:r>
      <w:r w:rsidRPr="00B84B2C">
        <w:rPr>
          <w:rFonts w:asciiTheme="majorHAnsi" w:hAnsiTheme="majorHAnsi" w:cstheme="majorHAnsi"/>
        </w:rPr>
        <w:br/>
        <w:t>-Scheda di segnalazione di una RA</w:t>
      </w:r>
      <w:r w:rsidRPr="00B84B2C">
        <w:rPr>
          <w:rFonts w:asciiTheme="majorHAnsi" w:hAnsiTheme="majorHAnsi" w:cstheme="majorHAnsi"/>
        </w:rPr>
        <w:br/>
        <w:t>Farmacovigilanza attiva: gli studi epidemiologici</w:t>
      </w:r>
      <w:r w:rsidRPr="00B84B2C">
        <w:rPr>
          <w:rFonts w:asciiTheme="majorHAnsi" w:hAnsiTheme="majorHAnsi" w:cstheme="majorHAnsi"/>
        </w:rPr>
        <w:br/>
        <w:t>-Fattori da considerare quando si utilizza un farmaco: efficacia – sicurezza – economicità – appropriatezza – rapporto rischio/beneficio</w:t>
      </w:r>
      <w:r w:rsidRPr="00B84B2C">
        <w:rPr>
          <w:rFonts w:asciiTheme="majorHAnsi" w:hAnsiTheme="majorHAnsi" w:cstheme="majorHAnsi"/>
        </w:rPr>
        <w:br/>
        <w:t>-Evoluzione nel tempo dei sistemi di farmacovigilanza: analisi dei fattori di rischio (identificazione, valutazione, quantificazione) – gestione dei fattori di rischio - sorgenti di rischio nell’uso dei farmaci</w:t>
      </w:r>
      <w:r w:rsidRPr="00B84B2C">
        <w:rPr>
          <w:rFonts w:asciiTheme="majorHAnsi" w:hAnsiTheme="majorHAnsi" w:cstheme="majorHAnsi"/>
        </w:rPr>
        <w:br/>
        <w:t>-Le principali misure di studio dei fenomeni nelle popolazioni</w:t>
      </w:r>
      <w:r w:rsidRPr="00B84B2C">
        <w:rPr>
          <w:rFonts w:asciiTheme="majorHAnsi" w:hAnsiTheme="majorHAnsi" w:cstheme="majorHAnsi"/>
        </w:rPr>
        <w:br/>
        <w:t>a) Eziologici</w:t>
      </w:r>
      <w:r w:rsidRPr="00B84B2C">
        <w:rPr>
          <w:rFonts w:asciiTheme="majorHAnsi" w:hAnsiTheme="majorHAnsi" w:cstheme="majorHAnsi"/>
        </w:rPr>
        <w:br/>
        <w:t>Sperimentali: sperimentazione clinica controllata (RCT)</w:t>
      </w:r>
      <w:r w:rsidRPr="00B84B2C">
        <w:rPr>
          <w:rFonts w:asciiTheme="majorHAnsi" w:hAnsiTheme="majorHAnsi" w:cstheme="majorHAnsi"/>
        </w:rPr>
        <w:br/>
        <w:t>-Caratteristiche di uno studio clinico controllato: disegno ed organizzazione (cecità, randomizzazione (tipi di randomizzazione semplice e a blocchi) –gruppi di controllo e loro importanza</w:t>
      </w:r>
      <w:r w:rsidRPr="00B84B2C">
        <w:rPr>
          <w:rFonts w:asciiTheme="majorHAnsi" w:hAnsiTheme="majorHAnsi" w:cstheme="majorHAnsi"/>
        </w:rPr>
        <w:br/>
        <w:t>-Analisi dei dati di uno studio clinico controllato: concetto di incidenza (Ic) – riduzione assoluta del rischio (RRA) – rischio relativo (RR) – riduzione relativa del rischio (RRR) – numero di soggetti da trattare per evitare un evento (NNT) – intervallo di confidenza – significatività statistica del rischio relativo</w:t>
      </w:r>
      <w:r w:rsidRPr="00B84B2C">
        <w:rPr>
          <w:rFonts w:asciiTheme="majorHAnsi" w:hAnsiTheme="majorHAnsi" w:cstheme="majorHAnsi"/>
        </w:rPr>
        <w:br/>
        <w:t>-Modalità per valutare i dati derivanti da una sperimentazione clinica controllata: analisi per trattamento previsto – analisi per trattamento effettivo</w:t>
      </w:r>
      <w:r w:rsidRPr="00B84B2C">
        <w:rPr>
          <w:rFonts w:asciiTheme="majorHAnsi" w:hAnsiTheme="majorHAnsi" w:cstheme="majorHAnsi"/>
        </w:rPr>
        <w:br/>
        <w:t>-Aspetti etici da considerare nel corso degli studi clinici controllati: ruolo dei comitati etici</w:t>
      </w:r>
      <w:r w:rsidRPr="00B84B2C">
        <w:rPr>
          <w:rFonts w:asciiTheme="majorHAnsi" w:hAnsiTheme="majorHAnsi" w:cstheme="majorHAnsi"/>
        </w:rPr>
        <w:br/>
        <w:t>-Potenzialità e limiti</w:t>
      </w:r>
      <w:r w:rsidRPr="00B84B2C">
        <w:rPr>
          <w:rFonts w:asciiTheme="majorHAnsi" w:hAnsiTheme="majorHAnsi" w:cstheme="majorHAnsi"/>
        </w:rPr>
        <w:br/>
        <w:t>Osservazionali</w:t>
      </w:r>
      <w:r w:rsidRPr="00B84B2C">
        <w:rPr>
          <w:rFonts w:asciiTheme="majorHAnsi" w:hAnsiTheme="majorHAnsi" w:cstheme="majorHAnsi"/>
        </w:rPr>
        <w:br/>
        <w:t>-Differenze rispetto agli RCT, ambiti applicativi, profilo beneficio-rischio</w:t>
      </w:r>
      <w:r w:rsidRPr="00B84B2C">
        <w:rPr>
          <w:rFonts w:asciiTheme="majorHAnsi" w:hAnsiTheme="majorHAnsi" w:cstheme="majorHAnsi"/>
        </w:rPr>
        <w:br/>
        <w:t>Studi di coorte</w:t>
      </w:r>
      <w:r w:rsidRPr="00B84B2C">
        <w:rPr>
          <w:rFonts w:asciiTheme="majorHAnsi" w:hAnsiTheme="majorHAnsi" w:cstheme="majorHAnsi"/>
        </w:rPr>
        <w:br/>
        <w:t>-organizzazione dello studio</w:t>
      </w:r>
      <w:r w:rsidRPr="00B84B2C">
        <w:rPr>
          <w:rFonts w:asciiTheme="majorHAnsi" w:hAnsiTheme="majorHAnsi" w:cstheme="majorHAnsi"/>
        </w:rPr>
        <w:br/>
        <w:t>–organizzazione dei dati: incidenza; rischio relativo; intervallo di confidenza; eccesso di rischio</w:t>
      </w:r>
      <w:r w:rsidRPr="00B84B2C">
        <w:rPr>
          <w:rFonts w:asciiTheme="majorHAnsi" w:hAnsiTheme="majorHAnsi" w:cstheme="majorHAnsi"/>
        </w:rPr>
        <w:br/>
        <w:t>-fonti di bias</w:t>
      </w:r>
      <w:r w:rsidRPr="00B84B2C">
        <w:rPr>
          <w:rFonts w:asciiTheme="majorHAnsi" w:hAnsiTheme="majorHAnsi" w:cstheme="majorHAnsi"/>
        </w:rPr>
        <w:br/>
        <w:t>Studi caso/controllo</w:t>
      </w:r>
      <w:r w:rsidRPr="00B84B2C">
        <w:rPr>
          <w:rFonts w:asciiTheme="majorHAnsi" w:hAnsiTheme="majorHAnsi" w:cstheme="majorHAnsi"/>
        </w:rPr>
        <w:br/>
        <w:t>-organizzazione dello studio</w:t>
      </w:r>
      <w:r w:rsidRPr="00B84B2C">
        <w:rPr>
          <w:rFonts w:asciiTheme="majorHAnsi" w:hAnsiTheme="majorHAnsi" w:cstheme="majorHAnsi"/>
        </w:rPr>
        <w:br/>
        <w:t>-organizzazione dei dati: calcolo degli ODS; intervallo di confidenza</w:t>
      </w:r>
      <w:r w:rsidRPr="00B84B2C">
        <w:rPr>
          <w:rFonts w:asciiTheme="majorHAnsi" w:hAnsiTheme="majorHAnsi" w:cstheme="majorHAnsi"/>
        </w:rPr>
        <w:br/>
        <w:t>-fonti di bias</w:t>
      </w:r>
      <w:r w:rsidRPr="00B84B2C">
        <w:rPr>
          <w:rFonts w:asciiTheme="majorHAnsi" w:hAnsiTheme="majorHAnsi" w:cstheme="majorHAnsi"/>
        </w:rPr>
        <w:br/>
        <w:t>b) Descrittivi</w:t>
      </w:r>
      <w:r w:rsidRPr="00B84B2C">
        <w:rPr>
          <w:rFonts w:asciiTheme="majorHAnsi" w:hAnsiTheme="majorHAnsi" w:cstheme="majorHAnsi"/>
        </w:rPr>
        <w:br/>
        <w:t>– valutazione/promozione dell’appropriatezza – valutazione e contenimento della spesa sanitaria – stima degli utilizzatori</w:t>
      </w:r>
      <w:r w:rsidRPr="00B84B2C">
        <w:rPr>
          <w:rFonts w:asciiTheme="majorHAnsi" w:hAnsiTheme="majorHAnsi" w:cstheme="majorHAnsi"/>
        </w:rPr>
        <w:br/>
        <w:t xml:space="preserve">-Sistemi di monitoraggio delle prescrizioni farmaceutiche a carico del SSN: dati di vendita –indagini campionarie </w:t>
      </w:r>
      <w:r w:rsidRPr="00B84B2C">
        <w:rPr>
          <w:rFonts w:asciiTheme="majorHAnsi" w:hAnsiTheme="majorHAnsi" w:cstheme="majorHAnsi"/>
        </w:rPr>
        <w:br/>
      </w:r>
      <w:r w:rsidRPr="00B84B2C">
        <w:rPr>
          <w:rFonts w:asciiTheme="majorHAnsi" w:hAnsiTheme="majorHAnsi" w:cstheme="majorHAnsi"/>
        </w:rPr>
        <w:lastRenderedPageBreak/>
        <w:t xml:space="preserve">-Principali misure di esposizione: prevalenza d’uso – DDD </w:t>
      </w:r>
      <w:r w:rsidRPr="00B84B2C">
        <w:rPr>
          <w:rFonts w:asciiTheme="majorHAnsi" w:hAnsiTheme="majorHAnsi" w:cstheme="majorHAnsi"/>
        </w:rPr>
        <w:br/>
        <w:t>-Osservatorio nazionale dell’uso dei medicinali: compiti e sistemi di raccolta dei dati</w:t>
      </w:r>
      <w:r w:rsidRPr="00B84B2C">
        <w:rPr>
          <w:rFonts w:asciiTheme="majorHAnsi" w:hAnsiTheme="majorHAnsi" w:cstheme="majorHAnsi"/>
        </w:rPr>
        <w:br/>
        <w:t>La legislazione in farmacovigilanza ed altri tipi di vigilanza sanitaria</w:t>
      </w:r>
      <w:r w:rsidRPr="00B84B2C">
        <w:rPr>
          <w:rFonts w:asciiTheme="majorHAnsi" w:hAnsiTheme="majorHAnsi" w:cstheme="majorHAnsi"/>
        </w:rPr>
        <w:br/>
        <w:t>-La Nuova Legislazione italiana</w:t>
      </w:r>
      <w:r w:rsidRPr="00B84B2C">
        <w:rPr>
          <w:rFonts w:asciiTheme="majorHAnsi" w:hAnsiTheme="majorHAnsi" w:cstheme="majorHAnsi"/>
        </w:rPr>
        <w:br/>
        <w:t>-Direttive comunitarie in materia di Farmacovigilanza</w:t>
      </w:r>
      <w:r w:rsidRPr="00B84B2C">
        <w:rPr>
          <w:rFonts w:asciiTheme="majorHAnsi" w:hAnsiTheme="majorHAnsi" w:cstheme="majorHAnsi"/>
        </w:rPr>
        <w:br/>
        <w:t>-Organizzazione della Farmacovigilanza a livello italiano, europeo e mondiale</w:t>
      </w:r>
      <w:r w:rsidRPr="00B84B2C">
        <w:rPr>
          <w:rFonts w:asciiTheme="majorHAnsi" w:hAnsiTheme="majorHAnsi" w:cstheme="majorHAnsi"/>
        </w:rPr>
        <w:br/>
        <w:t>-La vigilanza per i prodotti di origine naturale</w:t>
      </w:r>
      <w:r w:rsidRPr="00B84B2C">
        <w:rPr>
          <w:rFonts w:asciiTheme="majorHAnsi" w:hAnsiTheme="majorHAnsi" w:cstheme="majorHAnsi"/>
        </w:rPr>
        <w:br/>
        <w:t>-La vigilanza per i prodotti OTC</w:t>
      </w:r>
      <w:r w:rsidRPr="00B84B2C">
        <w:rPr>
          <w:rFonts w:asciiTheme="majorHAnsi" w:hAnsiTheme="majorHAnsi" w:cstheme="majorHAnsi"/>
        </w:rPr>
        <w:br/>
        <w:t>-La vigilanza per i prodotti cosmetici</w:t>
      </w:r>
    </w:p>
    <w:p w:rsidR="00F8526A" w:rsidRDefault="00F8526A" w:rsidP="00F8526A">
      <w:pPr>
        <w:pStyle w:val="NormaleWeb"/>
      </w:pPr>
      <w:r>
        <w:t> </w:t>
      </w:r>
    </w:p>
    <w:p w:rsidR="002B6BBE" w:rsidRPr="00397866" w:rsidRDefault="006E1ACB" w:rsidP="002B6BBE">
      <w:pPr>
        <w:rPr>
          <w:rFonts w:ascii="Calibri" w:hAnsi="Calibri"/>
          <w:b/>
          <w:color w:val="000000"/>
          <w:u w:val="single"/>
        </w:rPr>
      </w:pPr>
      <w:r w:rsidRPr="00397866">
        <w:rPr>
          <w:rFonts w:ascii="Calibri" w:hAnsi="Calibri"/>
          <w:b/>
          <w:color w:val="000000"/>
          <w:u w:val="single"/>
        </w:rPr>
        <w:t>OBIETTIVI FORMATIVI</w:t>
      </w:r>
    </w:p>
    <w:p w:rsidR="00B86F80" w:rsidRPr="002169AE" w:rsidRDefault="00B86F80" w:rsidP="002B6BBE">
      <w:pPr>
        <w:rPr>
          <w:rFonts w:ascii="Calibri" w:hAnsi="Calibri"/>
          <w:b/>
          <w:color w:val="000000"/>
        </w:rPr>
      </w:pPr>
    </w:p>
    <w:p w:rsidR="002B6BBE" w:rsidRPr="00B86F80" w:rsidRDefault="006E1ACB" w:rsidP="002B6BBE">
      <w:pPr>
        <w:rPr>
          <w:rFonts w:ascii="Calibri" w:hAnsi="Calibri"/>
          <w:b/>
          <w:color w:val="000000"/>
        </w:rPr>
      </w:pPr>
      <w:r w:rsidRPr="00B86F80">
        <w:rPr>
          <w:rFonts w:ascii="Calibri" w:hAnsi="Calibri"/>
          <w:b/>
          <w:color w:val="000000"/>
        </w:rPr>
        <w:t>RISULTATI DI APPRENDIMENTO ATTESI</w:t>
      </w:r>
      <w:r w:rsidR="00397866">
        <w:rPr>
          <w:rFonts w:ascii="Calibri" w:hAnsi="Calibri"/>
          <w:b/>
          <w:color w:val="000000"/>
        </w:rPr>
        <w:t xml:space="preserve"> (</w:t>
      </w:r>
      <w:r w:rsidR="00397866" w:rsidRPr="00B86F80">
        <w:rPr>
          <w:rFonts w:ascii="Calibri" w:hAnsi="Calibri"/>
          <w:b/>
          <w:color w:val="000000"/>
        </w:rPr>
        <w:t>espressi tramite i descrittori europei del titolo di studio</w:t>
      </w:r>
      <w:r w:rsidR="00397866">
        <w:rPr>
          <w:rFonts w:ascii="Calibri" w:hAnsi="Calibri"/>
          <w:b/>
          <w:color w:val="000000"/>
        </w:rPr>
        <w:t>)</w:t>
      </w:r>
    </w:p>
    <w:p w:rsidR="00B86F80" w:rsidRPr="00B86F80" w:rsidRDefault="00B86F80" w:rsidP="002B6BBE">
      <w:pPr>
        <w:rPr>
          <w:rFonts w:ascii="Calibri" w:hAnsi="Calibri"/>
          <w:b/>
          <w:color w:val="000000"/>
        </w:rPr>
      </w:pPr>
    </w:p>
    <w:p w:rsidR="002B6BBE" w:rsidRDefault="006D28E8" w:rsidP="002B6BBE">
      <w:pPr>
        <w:rPr>
          <w:rFonts w:ascii="Calibri" w:hAnsi="Calibri"/>
          <w:b/>
          <w:color w:val="000000"/>
        </w:rPr>
      </w:pPr>
      <w:r w:rsidRPr="002169AE">
        <w:rPr>
          <w:rFonts w:ascii="Calibri" w:hAnsi="Calibri"/>
          <w:b/>
          <w:color w:val="000000"/>
        </w:rPr>
        <w:t xml:space="preserve">Conoscenze e capacità di comprensione </w:t>
      </w:r>
    </w:p>
    <w:p w:rsidR="006669B0" w:rsidRPr="001E3686" w:rsidRDefault="006669B0" w:rsidP="006669B0">
      <w:pPr>
        <w:pStyle w:val="NormaleWeb"/>
        <w:rPr>
          <w:rFonts w:asciiTheme="majorHAnsi" w:hAnsiTheme="majorHAnsi" w:cstheme="majorHAnsi"/>
        </w:rPr>
      </w:pPr>
      <w:r w:rsidRPr="001E3686">
        <w:rPr>
          <w:rFonts w:asciiTheme="majorHAnsi" w:hAnsiTheme="majorHAnsi" w:cstheme="majorHAnsi"/>
        </w:rPr>
        <w:t>Il corso intende fornire allo studente di Farmacia le</w:t>
      </w:r>
      <w:r w:rsidR="00AC24CF">
        <w:rPr>
          <w:rFonts w:asciiTheme="majorHAnsi" w:hAnsiTheme="majorHAnsi" w:cstheme="majorHAnsi"/>
        </w:rPr>
        <w:t xml:space="preserve"> conoscenze</w:t>
      </w:r>
      <w:r w:rsidRPr="001E3686">
        <w:rPr>
          <w:rFonts w:asciiTheme="majorHAnsi" w:hAnsiTheme="majorHAnsi" w:cstheme="majorHAnsi"/>
        </w:rPr>
        <w:t xml:space="preserve"> di farmacovigilanza </w:t>
      </w:r>
      <w:r w:rsidR="007652C2">
        <w:rPr>
          <w:rFonts w:asciiTheme="majorHAnsi" w:hAnsiTheme="majorHAnsi" w:cstheme="majorHAnsi"/>
        </w:rPr>
        <w:t xml:space="preserve">e della farmaco epidemiologia </w:t>
      </w:r>
      <w:r w:rsidRPr="001E3686">
        <w:rPr>
          <w:rFonts w:asciiTheme="majorHAnsi" w:hAnsiTheme="majorHAnsi" w:cstheme="majorHAnsi"/>
        </w:rPr>
        <w:t xml:space="preserve">indispensabili affinché esso abbia la </w:t>
      </w:r>
      <w:r w:rsidR="00AC24CF">
        <w:rPr>
          <w:rFonts w:asciiTheme="majorHAnsi" w:hAnsiTheme="majorHAnsi" w:cstheme="majorHAnsi"/>
        </w:rPr>
        <w:t xml:space="preserve">capacità </w:t>
      </w:r>
      <w:r w:rsidRPr="001E3686">
        <w:rPr>
          <w:rFonts w:asciiTheme="majorHAnsi" w:hAnsiTheme="majorHAnsi" w:cstheme="majorHAnsi"/>
        </w:rPr>
        <w:t>di valutare le problematiche riguardanti il farmaco dopo la sua immissione in commercio, comprendere l'importanza del ruolo del farmacista nell'ambito di tali problematiche, soprattutto nel sistema di segnalazione spontanea delle reazioni avverse e svolgere quindi con competenza la propria professione.</w:t>
      </w:r>
    </w:p>
    <w:p w:rsidR="001E3686" w:rsidRDefault="006D28E8" w:rsidP="001E3686">
      <w:pPr>
        <w:rPr>
          <w:rFonts w:ascii="Calibri" w:hAnsi="Calibri"/>
          <w:b/>
          <w:color w:val="000000"/>
        </w:rPr>
      </w:pPr>
      <w:r w:rsidRPr="002169AE">
        <w:rPr>
          <w:rFonts w:ascii="Calibri" w:hAnsi="Calibri"/>
          <w:b/>
          <w:color w:val="000000"/>
        </w:rPr>
        <w:t>Capacità di applicare conoscenza e comprensione (applyingknowledge and understanding)</w:t>
      </w:r>
    </w:p>
    <w:p w:rsidR="006669B0" w:rsidRPr="00A04FD7" w:rsidRDefault="006669B0" w:rsidP="001E3686">
      <w:pPr>
        <w:rPr>
          <w:rFonts w:asciiTheme="majorHAnsi" w:hAnsiTheme="majorHAnsi" w:cstheme="majorHAnsi"/>
        </w:rPr>
      </w:pPr>
      <w:r w:rsidRPr="00A04FD7">
        <w:rPr>
          <w:rFonts w:asciiTheme="majorHAnsi" w:hAnsiTheme="majorHAnsi" w:cstheme="majorHAnsi"/>
        </w:rPr>
        <w:t xml:space="preserve">Le conoscenze e le capacità acquisite </w:t>
      </w:r>
      <w:r w:rsidR="00AC24CF">
        <w:rPr>
          <w:rFonts w:asciiTheme="majorHAnsi" w:hAnsiTheme="majorHAnsi" w:cstheme="majorHAnsi"/>
        </w:rPr>
        <w:t xml:space="preserve">dallo studente </w:t>
      </w:r>
      <w:r w:rsidRPr="00A04FD7">
        <w:rPr>
          <w:rFonts w:asciiTheme="majorHAnsi" w:hAnsiTheme="majorHAnsi" w:cstheme="majorHAnsi"/>
        </w:rPr>
        <w:t>ne indirizzeranno il comportamento professionale. Il farmacista sarà quindi in grado di gestire un evento avverso e segnalarlo. Più in generale sarà in grado di svolgere il proprio compito di operatore sanitario sul territorio poiché saprà intervenire all’occorrenza all’atto della dispensazione del farmaco. </w:t>
      </w:r>
    </w:p>
    <w:p w:rsidR="00B86F80" w:rsidRPr="002169AE" w:rsidRDefault="00B86F80" w:rsidP="002B6BBE">
      <w:pPr>
        <w:rPr>
          <w:rFonts w:ascii="Calibri" w:hAnsi="Calibri"/>
          <w:color w:val="000000"/>
        </w:rPr>
      </w:pPr>
    </w:p>
    <w:p w:rsidR="002B6BBE" w:rsidRDefault="006D28E8" w:rsidP="002B6BBE">
      <w:pPr>
        <w:rPr>
          <w:rFonts w:ascii="Calibri" w:hAnsi="Calibri"/>
          <w:b/>
          <w:color w:val="000000"/>
        </w:rPr>
      </w:pPr>
      <w:r w:rsidRPr="002169AE">
        <w:rPr>
          <w:rFonts w:ascii="Calibri" w:hAnsi="Calibri"/>
          <w:b/>
          <w:color w:val="000000"/>
        </w:rPr>
        <w:t>Autonomia di giudizio (makingjudgements)</w:t>
      </w:r>
    </w:p>
    <w:p w:rsidR="003B5F2C" w:rsidRDefault="003B5F2C" w:rsidP="003B5F2C">
      <w:pPr>
        <w:rPr>
          <w:rFonts w:ascii="Calibri" w:hAnsi="Calibri"/>
          <w:color w:val="000000"/>
        </w:rPr>
      </w:pPr>
      <w:r>
        <w:rPr>
          <w:rFonts w:ascii="Calibri" w:hAnsi="Calibri"/>
          <w:color w:val="000000"/>
        </w:rPr>
        <w:t>Lo studente di farmacovigilanza a</w:t>
      </w:r>
      <w:r w:rsidRPr="00444BC0">
        <w:rPr>
          <w:rFonts w:ascii="Calibri" w:hAnsi="Calibri"/>
          <w:color w:val="000000"/>
        </w:rPr>
        <w:t xml:space="preserve">vrà </w:t>
      </w:r>
      <w:r>
        <w:rPr>
          <w:rFonts w:ascii="Calibri" w:hAnsi="Calibri"/>
          <w:color w:val="000000"/>
        </w:rPr>
        <w:t xml:space="preserve">compreso i principi fondamentali </w:t>
      </w:r>
      <w:r w:rsidR="003207DD">
        <w:rPr>
          <w:rFonts w:ascii="Calibri" w:hAnsi="Calibri"/>
          <w:color w:val="000000"/>
        </w:rPr>
        <w:t xml:space="preserve">della vigilanza post-marketing dei farmaci e soprattutto della segnalazione spontanea. </w:t>
      </w:r>
      <w:r>
        <w:rPr>
          <w:rFonts w:ascii="Calibri" w:hAnsi="Calibri"/>
          <w:color w:val="000000"/>
        </w:rPr>
        <w:t xml:space="preserve">In tale attività, lo studente dovrà essere in grado di esprimere un giudizio </w:t>
      </w:r>
      <w:r w:rsidR="003207DD">
        <w:rPr>
          <w:rFonts w:ascii="Calibri" w:hAnsi="Calibri"/>
          <w:color w:val="000000"/>
        </w:rPr>
        <w:t>sul</w:t>
      </w:r>
      <w:r w:rsidR="00A04FD7">
        <w:rPr>
          <w:rFonts w:ascii="Calibri" w:hAnsi="Calibri"/>
          <w:color w:val="000000"/>
        </w:rPr>
        <w:t xml:space="preserve">l’individuazione </w:t>
      </w:r>
      <w:r w:rsidR="003207DD">
        <w:rPr>
          <w:rFonts w:ascii="Calibri" w:hAnsi="Calibri"/>
          <w:color w:val="000000"/>
        </w:rPr>
        <w:t>di un evento avverso e sulla possibilità di segnalarlo.</w:t>
      </w:r>
    </w:p>
    <w:p w:rsidR="0051444A" w:rsidRPr="002169AE" w:rsidRDefault="0051444A" w:rsidP="002B6BBE">
      <w:pPr>
        <w:rPr>
          <w:rFonts w:ascii="Calibri" w:hAnsi="Calibri"/>
          <w:b/>
          <w:color w:val="000000"/>
        </w:rPr>
      </w:pPr>
    </w:p>
    <w:p w:rsidR="0051444A" w:rsidRDefault="006D28E8" w:rsidP="002B6BBE">
      <w:pPr>
        <w:rPr>
          <w:rFonts w:ascii="Calibri" w:hAnsi="Calibri"/>
          <w:b/>
          <w:color w:val="000000"/>
        </w:rPr>
      </w:pPr>
      <w:r w:rsidRPr="002169AE">
        <w:rPr>
          <w:rFonts w:ascii="Calibri" w:hAnsi="Calibri"/>
          <w:b/>
          <w:color w:val="000000"/>
        </w:rPr>
        <w:t>Abilità comunicative (communicationskills)</w:t>
      </w:r>
    </w:p>
    <w:p w:rsidR="003207DD" w:rsidRDefault="003207DD" w:rsidP="003207DD">
      <w:pPr>
        <w:rPr>
          <w:rFonts w:ascii="Calibri" w:hAnsi="Calibri"/>
          <w:color w:val="000000"/>
        </w:rPr>
      </w:pPr>
      <w:r>
        <w:rPr>
          <w:rFonts w:ascii="Calibri" w:hAnsi="Calibri"/>
          <w:color w:val="000000"/>
        </w:rPr>
        <w:t xml:space="preserve">Lo studente di  Farmacovigilanza </w:t>
      </w:r>
      <w:r w:rsidRPr="00444BC0">
        <w:rPr>
          <w:rFonts w:ascii="Calibri" w:hAnsi="Calibri"/>
          <w:color w:val="000000"/>
        </w:rPr>
        <w:t>avrà acquisito</w:t>
      </w:r>
      <w:r w:rsidR="00AC24CF">
        <w:rPr>
          <w:rFonts w:ascii="Calibri" w:hAnsi="Calibri"/>
          <w:color w:val="000000"/>
        </w:rPr>
        <w:t xml:space="preserve"> </w:t>
      </w:r>
      <w:r w:rsidRPr="00444BC0">
        <w:rPr>
          <w:rFonts w:ascii="Calibri" w:hAnsi="Calibri"/>
          <w:color w:val="000000"/>
        </w:rPr>
        <w:t xml:space="preserve">la capacità di </w:t>
      </w:r>
      <w:r>
        <w:rPr>
          <w:rFonts w:ascii="Calibri" w:hAnsi="Calibri"/>
          <w:color w:val="000000"/>
        </w:rPr>
        <w:t xml:space="preserve">compilare correttamente una scheda di segnalazione di sospetta reazione avversa e di inviarla al responsabile di farmacovigilanza , capacità che essenziale per la segnalazione spontanea. </w:t>
      </w:r>
    </w:p>
    <w:p w:rsidR="003207DD" w:rsidRPr="002169AE" w:rsidRDefault="003207DD" w:rsidP="003207DD">
      <w:pPr>
        <w:rPr>
          <w:rFonts w:ascii="Calibri" w:hAnsi="Calibri"/>
          <w:color w:val="000000"/>
        </w:rPr>
      </w:pPr>
    </w:p>
    <w:p w:rsidR="002B6BBE" w:rsidRPr="002169AE" w:rsidRDefault="006D28E8" w:rsidP="002B6BBE">
      <w:pPr>
        <w:rPr>
          <w:rFonts w:ascii="Calibri" w:hAnsi="Calibri"/>
          <w:color w:val="000000"/>
        </w:rPr>
      </w:pPr>
      <w:r w:rsidRPr="002169AE">
        <w:rPr>
          <w:rFonts w:ascii="Calibri" w:hAnsi="Calibri"/>
          <w:b/>
          <w:color w:val="000000"/>
        </w:rPr>
        <w:t>Capacità di apprendimento (learningskills)</w:t>
      </w:r>
    </w:p>
    <w:p w:rsidR="00571AEF" w:rsidRPr="002169AE" w:rsidRDefault="003207DD" w:rsidP="00571AEF">
      <w:pPr>
        <w:rPr>
          <w:rFonts w:ascii="Calibri" w:hAnsi="Calibri"/>
          <w:color w:val="000000"/>
        </w:rPr>
      </w:pPr>
      <w:r>
        <w:rPr>
          <w:rFonts w:ascii="Calibri" w:hAnsi="Calibri"/>
          <w:color w:val="000000"/>
        </w:rPr>
        <w:t>Lo studente</w:t>
      </w:r>
      <w:r w:rsidRPr="00AB3E61">
        <w:rPr>
          <w:rFonts w:ascii="Calibri" w:hAnsi="Calibri"/>
          <w:color w:val="000000"/>
        </w:rPr>
        <w:t xml:space="preserve"> avrà sviluppato le capa</w:t>
      </w:r>
      <w:r>
        <w:rPr>
          <w:rFonts w:ascii="Calibri" w:hAnsi="Calibri"/>
          <w:color w:val="000000"/>
        </w:rPr>
        <w:t>cità di apprendimento utili</w:t>
      </w:r>
      <w:r w:rsidRPr="00AB3E61">
        <w:rPr>
          <w:rFonts w:ascii="Calibri" w:hAnsi="Calibri"/>
          <w:color w:val="000000"/>
        </w:rPr>
        <w:t xml:space="preserve"> per </w:t>
      </w:r>
      <w:r w:rsidR="00571AEF">
        <w:rPr>
          <w:rFonts w:ascii="Calibri" w:hAnsi="Calibri"/>
          <w:color w:val="000000"/>
        </w:rPr>
        <w:t xml:space="preserve">svolgere </w:t>
      </w:r>
      <w:r w:rsidR="00571AEF" w:rsidRPr="00AB3E61">
        <w:rPr>
          <w:rFonts w:ascii="Calibri" w:hAnsi="Calibri"/>
          <w:color w:val="000000"/>
        </w:rPr>
        <w:t>con un sufficiente grado di autonomia</w:t>
      </w:r>
      <w:r w:rsidR="00571AEF">
        <w:rPr>
          <w:rFonts w:ascii="Calibri" w:hAnsi="Calibri"/>
          <w:color w:val="000000"/>
        </w:rPr>
        <w:t xml:space="preserve"> il suo ruolo nella vigilanza post-marketing dei farmaci</w:t>
      </w:r>
      <w:r w:rsidR="00571AEF" w:rsidRPr="00AB3E61">
        <w:rPr>
          <w:rFonts w:ascii="Calibri" w:hAnsi="Calibri"/>
          <w:color w:val="000000"/>
        </w:rPr>
        <w:t>.</w:t>
      </w:r>
    </w:p>
    <w:p w:rsidR="00571AEF" w:rsidRDefault="00571AEF" w:rsidP="00571AEF">
      <w:pPr>
        <w:rPr>
          <w:rFonts w:ascii="Calibri" w:hAnsi="Calibri"/>
          <w:color w:val="000000"/>
        </w:rPr>
      </w:pPr>
    </w:p>
    <w:p w:rsidR="007652C2" w:rsidRDefault="002B6BBE" w:rsidP="007652C2">
      <w:pPr>
        <w:rPr>
          <w:rFonts w:ascii="Calibri" w:hAnsi="Calibri"/>
          <w:b/>
          <w:color w:val="000000"/>
          <w:u w:val="single"/>
        </w:rPr>
      </w:pPr>
      <w:r w:rsidRPr="00397866">
        <w:rPr>
          <w:rFonts w:ascii="Calibri" w:hAnsi="Calibri"/>
          <w:b/>
          <w:color w:val="000000"/>
          <w:u w:val="single"/>
        </w:rPr>
        <w:t>METODI DIDATTICI/ORGANIZZAZIONE DELL’INSEGNAMENTO</w:t>
      </w:r>
    </w:p>
    <w:p w:rsidR="007652C2" w:rsidRDefault="007652C2" w:rsidP="007652C2">
      <w:pPr>
        <w:rPr>
          <w:rFonts w:asciiTheme="majorHAnsi" w:hAnsiTheme="majorHAnsi" w:cstheme="majorHAnsi"/>
        </w:rPr>
      </w:pPr>
      <w:r>
        <w:rPr>
          <w:rFonts w:asciiTheme="majorHAnsi" w:hAnsiTheme="majorHAnsi" w:cstheme="majorHAnsi"/>
        </w:rPr>
        <w:t>Lezioni frontali, presentazione PowerPoint ed esercitazione guidata in aula.</w:t>
      </w:r>
    </w:p>
    <w:p w:rsidR="006E1ACB" w:rsidRDefault="006E1ACB" w:rsidP="002B6BBE">
      <w:pPr>
        <w:rPr>
          <w:rFonts w:ascii="Calibri" w:hAnsi="Calibri"/>
          <w:b/>
          <w:color w:val="000000"/>
        </w:rPr>
      </w:pPr>
    </w:p>
    <w:p w:rsidR="002B6BBE" w:rsidRDefault="006E1ACB" w:rsidP="002B6BBE">
      <w:pPr>
        <w:rPr>
          <w:rFonts w:ascii="Calibri" w:hAnsi="Calibri"/>
          <w:b/>
          <w:color w:val="000000"/>
          <w:u w:val="single"/>
        </w:rPr>
      </w:pPr>
      <w:r w:rsidRPr="00397866">
        <w:rPr>
          <w:rFonts w:ascii="Calibri" w:hAnsi="Calibri"/>
          <w:b/>
          <w:color w:val="000000"/>
          <w:u w:val="single"/>
        </w:rPr>
        <w:t>MODALITÀ DI VERIFICA DELL’APPRENDIMENTO  (EVENTUALE PRESENZA DI PROVE IN ITINERE)</w:t>
      </w:r>
    </w:p>
    <w:p w:rsidR="00571AEF" w:rsidRPr="00397866" w:rsidRDefault="00571AEF" w:rsidP="00571AEF">
      <w:pPr>
        <w:rPr>
          <w:rFonts w:ascii="Calibri" w:hAnsi="Calibri"/>
          <w:b/>
          <w:color w:val="000000"/>
          <w:u w:val="single"/>
        </w:rPr>
      </w:pPr>
      <w:r>
        <w:rPr>
          <w:rFonts w:ascii="Calibri" w:hAnsi="Calibri"/>
          <w:color w:val="000000"/>
        </w:rPr>
        <w:t>Si te</w:t>
      </w:r>
      <w:r w:rsidR="00A04FD7">
        <w:rPr>
          <w:rFonts w:ascii="Calibri" w:hAnsi="Calibri"/>
          <w:color w:val="000000"/>
        </w:rPr>
        <w:t>rranno</w:t>
      </w:r>
      <w:r>
        <w:rPr>
          <w:rFonts w:ascii="Calibri" w:hAnsi="Calibri"/>
          <w:color w:val="000000"/>
        </w:rPr>
        <w:t xml:space="preserve"> due prove in itinere, una a metà corso ed una al termine del corso.</w:t>
      </w:r>
    </w:p>
    <w:p w:rsidR="00CC1C51" w:rsidRPr="00397866" w:rsidRDefault="00CC1C51" w:rsidP="002B6BBE">
      <w:pPr>
        <w:rPr>
          <w:rFonts w:ascii="Calibri" w:hAnsi="Calibri"/>
          <w:b/>
          <w:color w:val="000000"/>
          <w:u w:val="single"/>
        </w:rPr>
      </w:pPr>
    </w:p>
    <w:p w:rsidR="002B6BBE" w:rsidRDefault="00FA62A1" w:rsidP="00A04FD7">
      <w:pPr>
        <w:pStyle w:val="NormaleWeb"/>
        <w:rPr>
          <w:rFonts w:ascii="Calibri" w:hAnsi="Calibri"/>
          <w:b/>
          <w:color w:val="000000"/>
          <w:u w:val="single"/>
        </w:rPr>
      </w:pPr>
      <w:r>
        <w:lastRenderedPageBreak/>
        <w:t> </w:t>
      </w:r>
      <w:r w:rsidR="006E1ACB" w:rsidRPr="00397866">
        <w:rPr>
          <w:rFonts w:ascii="Calibri" w:hAnsi="Calibri"/>
          <w:b/>
          <w:color w:val="000000"/>
          <w:u w:val="single"/>
        </w:rPr>
        <w:t>MODALITÀ D’ESAME</w:t>
      </w:r>
    </w:p>
    <w:p w:rsidR="00571AEF" w:rsidRPr="00A04FD7" w:rsidRDefault="00571AEF" w:rsidP="00571AEF">
      <w:pPr>
        <w:pStyle w:val="NormaleWeb"/>
        <w:rPr>
          <w:rFonts w:asciiTheme="majorHAnsi" w:hAnsiTheme="majorHAnsi" w:cstheme="majorHAnsi"/>
        </w:rPr>
      </w:pPr>
      <w:r w:rsidRPr="00A04FD7">
        <w:rPr>
          <w:rFonts w:asciiTheme="majorHAnsi" w:hAnsiTheme="majorHAnsi" w:cstheme="majorHAnsi"/>
        </w:rPr>
        <w:t>Esame finale scritto e/o orale obbligatorio</w:t>
      </w:r>
    </w:p>
    <w:p w:rsidR="00CC1C51" w:rsidRPr="00A04FD7" w:rsidRDefault="00CC1C51" w:rsidP="002B6BBE">
      <w:pPr>
        <w:rPr>
          <w:rFonts w:asciiTheme="majorHAnsi" w:hAnsiTheme="majorHAnsi" w:cstheme="majorHAnsi"/>
          <w:b/>
          <w:color w:val="000000"/>
          <w:u w:val="single"/>
        </w:rPr>
      </w:pPr>
    </w:p>
    <w:p w:rsidR="002B6BBE" w:rsidRPr="002169AE" w:rsidRDefault="002B6BBE" w:rsidP="002B6BBE">
      <w:pPr>
        <w:rPr>
          <w:rFonts w:ascii="Calibri" w:hAnsi="Calibri"/>
          <w:b/>
          <w:color w:val="000000"/>
        </w:rPr>
      </w:pPr>
    </w:p>
    <w:p w:rsidR="002B6BBE" w:rsidRPr="00397866" w:rsidRDefault="006E1ACB" w:rsidP="002B6BBE">
      <w:pPr>
        <w:rPr>
          <w:rFonts w:ascii="Calibri" w:hAnsi="Calibri"/>
          <w:b/>
          <w:color w:val="000000"/>
          <w:u w:val="single"/>
        </w:rPr>
      </w:pPr>
      <w:r w:rsidRPr="00397866">
        <w:rPr>
          <w:rFonts w:ascii="Calibri" w:hAnsi="Calibri"/>
          <w:b/>
          <w:color w:val="000000"/>
          <w:u w:val="single"/>
        </w:rPr>
        <w:t>TESTI E MATERIALE DIDATTICO CONSIGLIATO</w:t>
      </w:r>
    </w:p>
    <w:p w:rsidR="002B6BBE" w:rsidRPr="00A04FD7" w:rsidRDefault="007B0CD9" w:rsidP="002B6BBE">
      <w:pPr>
        <w:rPr>
          <w:rFonts w:ascii="Calibri" w:hAnsi="Calibri"/>
          <w:color w:val="000000"/>
        </w:rPr>
      </w:pPr>
      <w:r w:rsidRPr="00A04FD7">
        <w:rPr>
          <w:rFonts w:ascii="Calibri" w:hAnsi="Calibri"/>
          <w:bCs/>
          <w:color w:val="000000"/>
        </w:rPr>
        <w:t>Si consiglia il materiale didattico pre</w:t>
      </w:r>
      <w:r w:rsidR="00345951">
        <w:rPr>
          <w:rFonts w:ascii="Calibri" w:hAnsi="Calibri"/>
          <w:bCs/>
          <w:color w:val="000000"/>
        </w:rPr>
        <w:t xml:space="preserve">sentato nelle lezioni frontali, nonché la consultazione di siti quali </w:t>
      </w:r>
      <w:r w:rsidR="00345951" w:rsidRPr="00345951">
        <w:rPr>
          <w:rFonts w:ascii="Arial" w:hAnsi="Arial" w:cs="Arial"/>
          <w:sz w:val="19"/>
          <w:szCs w:val="19"/>
          <w:shd w:val="clear" w:color="auto" w:fill="FFFFFF"/>
        </w:rPr>
        <w:t>www.agenziafarmaco.gov.it</w:t>
      </w:r>
    </w:p>
    <w:sectPr w:rsidR="002B6BBE" w:rsidRPr="00A04FD7" w:rsidSect="00397866">
      <w:pgSz w:w="11900" w:h="16840"/>
      <w:pgMar w:top="851" w:right="84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BBE"/>
    <w:rsid w:val="001A212F"/>
    <w:rsid w:val="001E3686"/>
    <w:rsid w:val="002B6BBE"/>
    <w:rsid w:val="003207DD"/>
    <w:rsid w:val="00345951"/>
    <w:rsid w:val="00397866"/>
    <w:rsid w:val="003A4442"/>
    <w:rsid w:val="003B5F2C"/>
    <w:rsid w:val="003C701B"/>
    <w:rsid w:val="00404828"/>
    <w:rsid w:val="004B0D39"/>
    <w:rsid w:val="0051444A"/>
    <w:rsid w:val="00571AEF"/>
    <w:rsid w:val="005C4AE9"/>
    <w:rsid w:val="00612611"/>
    <w:rsid w:val="006669B0"/>
    <w:rsid w:val="006D28E8"/>
    <w:rsid w:val="006E1ACB"/>
    <w:rsid w:val="007652C2"/>
    <w:rsid w:val="007B0CD9"/>
    <w:rsid w:val="0083256D"/>
    <w:rsid w:val="00856767"/>
    <w:rsid w:val="009329B4"/>
    <w:rsid w:val="009C33F1"/>
    <w:rsid w:val="00A04FD7"/>
    <w:rsid w:val="00A55B6C"/>
    <w:rsid w:val="00AC24CF"/>
    <w:rsid w:val="00B32A5D"/>
    <w:rsid w:val="00B64692"/>
    <w:rsid w:val="00B73A4A"/>
    <w:rsid w:val="00B75AF0"/>
    <w:rsid w:val="00B84B2C"/>
    <w:rsid w:val="00B86F80"/>
    <w:rsid w:val="00C23EE7"/>
    <w:rsid w:val="00C50912"/>
    <w:rsid w:val="00CC1C51"/>
    <w:rsid w:val="00D466DE"/>
    <w:rsid w:val="00D727BD"/>
    <w:rsid w:val="00EC52C4"/>
    <w:rsid w:val="00F535DC"/>
    <w:rsid w:val="00F76F7A"/>
    <w:rsid w:val="00F8526A"/>
    <w:rsid w:val="00FA62A1"/>
    <w:rsid w:val="00FE73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3CDF49F-4392-4B8A-9E26-C3B80B9B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6BBE"/>
    <w:rPr>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8526A"/>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3B5F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1112</Words>
  <Characters>6342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GDR</dc:creator>
  <cp:lastModifiedBy>Anna</cp:lastModifiedBy>
  <cp:revision>2</cp:revision>
  <dcterms:created xsi:type="dcterms:W3CDTF">2017-05-23T09:59:00Z</dcterms:created>
  <dcterms:modified xsi:type="dcterms:W3CDTF">2017-05-23T09:59:00Z</dcterms:modified>
</cp:coreProperties>
</file>