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bookmarkStart w:id="0" w:name="_GoBack"/>
      <w:bookmarkEnd w:id="0"/>
      <w:r w:rsidRPr="00397866">
        <w:rPr>
          <w:rFonts w:ascii="Calibri" w:hAnsi="Calibri"/>
          <w:b/>
          <w:color w:val="000000"/>
          <w:sz w:val="28"/>
        </w:rPr>
        <w:t>DIPARTIMENTO</w:t>
      </w:r>
    </w:p>
    <w:p w:rsidR="00397866" w:rsidRPr="00397866" w:rsidRDefault="0033678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Farmacia</w:t>
      </w: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CORSO DI LAUREA</w:t>
      </w:r>
    </w:p>
    <w:p w:rsidR="00397866" w:rsidRDefault="00336786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Farmacia</w:t>
      </w:r>
    </w:p>
    <w:p w:rsidR="0033678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336786">
        <w:rPr>
          <w:rFonts w:ascii="Calibri" w:hAnsi="Calibri"/>
          <w:b/>
          <w:color w:val="000000"/>
          <w:sz w:val="28"/>
        </w:rPr>
        <w:t xml:space="preserve"> </w:t>
      </w:r>
    </w:p>
    <w:p w:rsidR="00397866" w:rsidRPr="00397866" w:rsidRDefault="0033678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Carlo Irace</w:t>
      </w:r>
    </w:p>
    <w:p w:rsidR="00397866" w:rsidRDefault="00587DDC" w:rsidP="00397866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6271260" cy="3308985"/>
                <wp:effectExtent l="57150" t="19050" r="72390" b="1009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3308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E7967" id="Rettangolo 1" o:spid="_x0000_s1026" style="position:absolute;margin-left:-3.55pt;margin-top:18pt;width:493.8pt;height:260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00558C">
        <w:rPr>
          <w:rFonts w:ascii="Calibri" w:hAnsi="Calibri"/>
          <w:b/>
          <w:color w:val="000000"/>
          <w:u w:val="single"/>
        </w:rPr>
        <w:t>:</w:t>
      </w:r>
      <w:r w:rsidR="00ED0AFA">
        <w:rPr>
          <w:rFonts w:ascii="Calibri" w:hAnsi="Calibri"/>
          <w:b/>
          <w:color w:val="000000"/>
          <w:u w:val="single"/>
        </w:rPr>
        <w:t xml:space="preserve"> BIOCHIMICA APPLICATA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Tipologia di insegnamento</w:t>
      </w:r>
    </w:p>
    <w:p w:rsidR="002B6BBE" w:rsidRPr="00ED0AFA" w:rsidRDefault="00336786" w:rsidP="00397866">
      <w:pPr>
        <w:spacing w:line="276" w:lineRule="auto"/>
        <w:rPr>
          <w:rFonts w:ascii="Calibri" w:hAnsi="Calibri"/>
          <w:color w:val="000000"/>
        </w:rPr>
      </w:pPr>
      <w:r w:rsidRPr="00ED0AFA">
        <w:rPr>
          <w:rFonts w:ascii="Calibri" w:hAnsi="Calibri"/>
          <w:color w:val="000000"/>
        </w:rPr>
        <w:t>a scelta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(CFU)</w:t>
      </w:r>
    </w:p>
    <w:p w:rsidR="002B6BBE" w:rsidRPr="00ED0AFA" w:rsidRDefault="00336786" w:rsidP="00397866">
      <w:pPr>
        <w:spacing w:line="276" w:lineRule="auto"/>
        <w:rPr>
          <w:rFonts w:ascii="Calibri" w:hAnsi="Calibri"/>
          <w:color w:val="000000"/>
        </w:rPr>
      </w:pPr>
      <w:r w:rsidRPr="00ED0AFA">
        <w:rPr>
          <w:rFonts w:ascii="Calibri" w:hAnsi="Calibri"/>
          <w:color w:val="000000"/>
        </w:rPr>
        <w:t>6 CFU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 xml:space="preserve">ettore Scientifico disciplinare (SSD) </w:t>
      </w:r>
    </w:p>
    <w:p w:rsidR="002B6BBE" w:rsidRPr="00ED0AFA" w:rsidRDefault="00336786" w:rsidP="00397866">
      <w:pPr>
        <w:spacing w:line="276" w:lineRule="auto"/>
        <w:rPr>
          <w:rFonts w:ascii="Calibri" w:hAnsi="Calibri"/>
          <w:color w:val="000000"/>
        </w:rPr>
      </w:pPr>
      <w:r w:rsidRPr="00ED0AFA">
        <w:rPr>
          <w:rFonts w:ascii="Calibri" w:hAnsi="Calibri"/>
          <w:color w:val="000000"/>
        </w:rPr>
        <w:t>BIO</w:t>
      </w:r>
      <w:r w:rsidR="00ED0AFA" w:rsidRPr="00ED0AFA">
        <w:rPr>
          <w:rFonts w:ascii="Calibri" w:hAnsi="Calibri"/>
          <w:color w:val="000000"/>
        </w:rPr>
        <w:t>/</w:t>
      </w:r>
      <w:r w:rsidRPr="00ED0AFA">
        <w:rPr>
          <w:rFonts w:ascii="Calibri" w:hAnsi="Calibri"/>
          <w:color w:val="000000"/>
        </w:rPr>
        <w:t>10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 xml:space="preserve">Posizionamento nel calendario didattico </w:t>
      </w:r>
    </w:p>
    <w:p w:rsidR="002B6BBE" w:rsidRPr="00ED0AFA" w:rsidRDefault="00336786" w:rsidP="00397866">
      <w:pPr>
        <w:spacing w:line="276" w:lineRule="auto"/>
        <w:rPr>
          <w:rFonts w:ascii="Calibri" w:hAnsi="Calibri"/>
          <w:color w:val="000000"/>
        </w:rPr>
      </w:pPr>
      <w:r w:rsidRPr="00ED0AFA">
        <w:rPr>
          <w:rFonts w:ascii="Calibri" w:hAnsi="Calibri"/>
          <w:color w:val="000000"/>
        </w:rPr>
        <w:t>primo semestre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Prerequisiti</w:t>
      </w:r>
    </w:p>
    <w:p w:rsidR="00336786" w:rsidRPr="00ED0AFA" w:rsidRDefault="00336786" w:rsidP="00397866">
      <w:pPr>
        <w:spacing w:line="276" w:lineRule="auto"/>
        <w:rPr>
          <w:rFonts w:ascii="Calibri" w:hAnsi="Calibri"/>
          <w:color w:val="000000"/>
        </w:rPr>
      </w:pPr>
      <w:r w:rsidRPr="00ED0AFA">
        <w:rPr>
          <w:rFonts w:ascii="Calibri" w:hAnsi="Calibri"/>
          <w:color w:val="000000"/>
        </w:rPr>
        <w:t>Chimica generale, Fisica, Chimica organica, Biologia, Biochimica, Fisiologia</w:t>
      </w:r>
      <w:r w:rsidR="00C24ADA" w:rsidRPr="00ED0AFA">
        <w:rPr>
          <w:rFonts w:ascii="Calibri" w:hAnsi="Calibri"/>
          <w:color w:val="000000"/>
        </w:rPr>
        <w:t>, Patologia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</w:p>
    <w:p w:rsidR="002B6BBE" w:rsidRPr="00ED0AFA" w:rsidRDefault="00336786" w:rsidP="00397866">
      <w:pPr>
        <w:spacing w:line="480" w:lineRule="auto"/>
        <w:rPr>
          <w:rFonts w:ascii="Calibri" w:hAnsi="Calibri"/>
          <w:color w:val="000000"/>
        </w:rPr>
      </w:pPr>
      <w:r w:rsidRPr="00ED0AFA">
        <w:rPr>
          <w:rFonts w:ascii="Calibri" w:hAnsi="Calibri"/>
          <w:color w:val="000000"/>
        </w:rPr>
        <w:t>Nessuna</w:t>
      </w:r>
    </w:p>
    <w:p w:rsidR="00ED0AFA" w:rsidRDefault="00ED0AFA" w:rsidP="00397866">
      <w:pPr>
        <w:spacing w:line="480" w:lineRule="auto"/>
        <w:rPr>
          <w:rFonts w:ascii="Calibri" w:hAnsi="Calibri"/>
          <w:b/>
          <w:color w:val="000000"/>
        </w:rPr>
      </w:pPr>
    </w:p>
    <w:p w:rsidR="00397866" w:rsidRDefault="00587DDC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190500</wp:posOffset>
                </wp:positionV>
                <wp:extent cx="6480175" cy="6138545"/>
                <wp:effectExtent l="57150" t="19050" r="73025" b="9080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61385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8188" id="Rettangolo 2" o:spid="_x0000_s1026" style="position:absolute;margin-left:-7.05pt;margin-top:15pt;width:510.25pt;height:4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397866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:rsidR="00336786" w:rsidRDefault="00336786" w:rsidP="0033678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Pr="00336786">
        <w:rPr>
          <w:b/>
          <w:sz w:val="20"/>
          <w:szCs w:val="20"/>
        </w:rPr>
        <w:t>icerca e indagini in campo biomedico</w:t>
      </w:r>
      <w:r w:rsidRPr="00336786">
        <w:rPr>
          <w:sz w:val="20"/>
          <w:szCs w:val="20"/>
        </w:rPr>
        <w:t>. Modelli di studio e modelli sperimentali. Progettazione d</w:t>
      </w:r>
      <w:r>
        <w:rPr>
          <w:sz w:val="20"/>
          <w:szCs w:val="20"/>
        </w:rPr>
        <w:t>i</w:t>
      </w:r>
      <w:r w:rsidRPr="00336786">
        <w:rPr>
          <w:sz w:val="20"/>
          <w:szCs w:val="20"/>
        </w:rPr>
        <w:t xml:space="preserve"> indagini biochimiche, disegno sperimentale. Raccolta ed espressione dei dati. Sicurezza nel laboratorio biochimico. Sviluppo di farmaci e sperimentazione biochimica. </w:t>
      </w:r>
      <w:r>
        <w:rPr>
          <w:sz w:val="20"/>
          <w:szCs w:val="20"/>
        </w:rPr>
        <w:t xml:space="preserve"> </w:t>
      </w:r>
    </w:p>
    <w:p w:rsidR="00336786" w:rsidRPr="00336786" w:rsidRDefault="00336786" w:rsidP="0033678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Bio</w:t>
      </w:r>
      <w:r w:rsidRPr="00336786">
        <w:rPr>
          <w:b/>
          <w:sz w:val="20"/>
          <w:szCs w:val="20"/>
        </w:rPr>
        <w:t>tecnologia delle colture cellulari</w:t>
      </w:r>
      <w:r w:rsidRPr="00336786">
        <w:rPr>
          <w:sz w:val="20"/>
          <w:szCs w:val="20"/>
        </w:rPr>
        <w:t xml:space="preserve">. Laboratorio per colture cellulari. Protocolli generali per il mantenimento di cellule in coltura. Tipi di colture cellulari. Criogenia. Banche cellulari. Contaminazioni microbiche. Colture procariotiche. Potenziali applicazioni delle colture cellulari. </w:t>
      </w:r>
      <w:r w:rsidRPr="00336786">
        <w:rPr>
          <w:i/>
          <w:sz w:val="20"/>
          <w:szCs w:val="20"/>
        </w:rPr>
        <w:t>In vitro</w:t>
      </w:r>
      <w:r w:rsidRPr="00336786">
        <w:rPr>
          <w:sz w:val="20"/>
          <w:szCs w:val="20"/>
        </w:rPr>
        <w:t xml:space="preserve"> bioscreen: valutazione della vitalità e della proliferazione cellulare</w:t>
      </w:r>
      <w:r>
        <w:rPr>
          <w:sz w:val="20"/>
          <w:szCs w:val="20"/>
        </w:rPr>
        <w:t>.</w:t>
      </w:r>
      <w:r w:rsidRPr="00336786">
        <w:rPr>
          <w:sz w:val="20"/>
          <w:szCs w:val="20"/>
        </w:rPr>
        <w:t>.</w:t>
      </w:r>
    </w:p>
    <w:p w:rsidR="00336786" w:rsidRPr="00336786" w:rsidRDefault="00336786" w:rsidP="00336786">
      <w:pPr>
        <w:jc w:val="both"/>
        <w:rPr>
          <w:sz w:val="20"/>
          <w:szCs w:val="20"/>
        </w:rPr>
      </w:pPr>
      <w:r w:rsidRPr="00336786">
        <w:rPr>
          <w:b/>
          <w:sz w:val="20"/>
          <w:szCs w:val="20"/>
        </w:rPr>
        <w:t>Tecniche centrifugative</w:t>
      </w:r>
      <w:r w:rsidRPr="00336786">
        <w:rPr>
          <w:sz w:val="20"/>
          <w:szCs w:val="20"/>
        </w:rPr>
        <w:t>. Principi fondamentali della sedimentazione. Coefficiente di sedimentazione. Tipi di centrifughe e di rotori. Principali tipi di centrifugazioni preparative. Centrifugazione differenziale. Centrifugazione analitica.</w:t>
      </w:r>
    </w:p>
    <w:p w:rsidR="00336786" w:rsidRPr="00336786" w:rsidRDefault="00336786" w:rsidP="00336786">
      <w:pPr>
        <w:jc w:val="both"/>
        <w:rPr>
          <w:sz w:val="20"/>
          <w:szCs w:val="20"/>
        </w:rPr>
      </w:pPr>
      <w:r w:rsidRPr="00336786">
        <w:rPr>
          <w:b/>
          <w:sz w:val="20"/>
          <w:szCs w:val="20"/>
        </w:rPr>
        <w:t>Spettroscopia di assorbimento atomico e molecolare</w:t>
      </w:r>
      <w:r w:rsidRPr="00336786">
        <w:rPr>
          <w:sz w:val="20"/>
          <w:szCs w:val="20"/>
        </w:rPr>
        <w:t>. Spettrofotometria di assorbimento UV e visibile. Principi generali della spettroscopia. Cromofori. Applicazioni della spettroscopia UV-Vis: analisi qualitativa e quantitativa. Legge di Lambert-Beer. Spettrofotometri. Spettroscopia IR.</w:t>
      </w:r>
    </w:p>
    <w:p w:rsidR="00336786" w:rsidRPr="00336786" w:rsidRDefault="00336786" w:rsidP="00336786">
      <w:pPr>
        <w:jc w:val="both"/>
        <w:rPr>
          <w:sz w:val="20"/>
          <w:szCs w:val="20"/>
        </w:rPr>
      </w:pPr>
      <w:r w:rsidRPr="00336786">
        <w:rPr>
          <w:b/>
          <w:sz w:val="20"/>
          <w:szCs w:val="20"/>
        </w:rPr>
        <w:t>Spettroscopia di emissione molecolare</w:t>
      </w:r>
      <w:r w:rsidRPr="00336786">
        <w:rPr>
          <w:sz w:val="20"/>
          <w:szCs w:val="20"/>
        </w:rPr>
        <w:t xml:space="preserve">. Luminescenza. Principi fondamentali della fluorimetria. Fluoroforo. Fluorimetri. Applicazioni della spettrofluorimetria: analisi qualitative e quantitative. Fluorescenza intrinseca ed estrinseca. Sonde fluorescenti. Citofluorimetria. Microscopia confocale. </w:t>
      </w:r>
    </w:p>
    <w:p w:rsidR="00336786" w:rsidRPr="00336786" w:rsidRDefault="00336786" w:rsidP="00336786">
      <w:pPr>
        <w:jc w:val="both"/>
        <w:rPr>
          <w:sz w:val="20"/>
          <w:szCs w:val="20"/>
        </w:rPr>
      </w:pPr>
      <w:r w:rsidRPr="00336786">
        <w:rPr>
          <w:b/>
          <w:sz w:val="20"/>
          <w:szCs w:val="20"/>
        </w:rPr>
        <w:t>Tecniche immunochimiche</w:t>
      </w:r>
      <w:r w:rsidRPr="00336786">
        <w:rPr>
          <w:sz w:val="20"/>
          <w:szCs w:val="20"/>
        </w:rPr>
        <w:t xml:space="preserve">. Principi generali. Anticorpi come reattivi analitici. Metodi di rivelazione. RIA. ELISA. </w:t>
      </w:r>
    </w:p>
    <w:p w:rsidR="00336786" w:rsidRPr="00336786" w:rsidRDefault="00336786" w:rsidP="00336786">
      <w:pPr>
        <w:jc w:val="both"/>
        <w:rPr>
          <w:sz w:val="20"/>
          <w:szCs w:val="20"/>
        </w:rPr>
      </w:pPr>
      <w:r w:rsidRPr="00336786">
        <w:rPr>
          <w:b/>
          <w:sz w:val="20"/>
          <w:szCs w:val="20"/>
        </w:rPr>
        <w:t>Tecniche elettroforetiche</w:t>
      </w:r>
      <w:r w:rsidRPr="00336786">
        <w:rPr>
          <w:sz w:val="20"/>
          <w:szCs w:val="20"/>
        </w:rPr>
        <w:t xml:space="preserve">. Principi generali. Elettroforesi su supporti solidi. Gel di agarosio. Elettroforesi preparativa di acidi nucleici. Elettroforesi analitiche di acidi nucleici. Southern e Northern blotting. Gel di poliacrilammide. Elettroforesi delle proteine. PAGE ed SDS-PAGE. Elettroforesi preparative ed analitiche delle proteine. Western blotting ed Immunodetection. EMSA. Isoelettrofocalizzazione.    </w:t>
      </w:r>
    </w:p>
    <w:p w:rsidR="00336786" w:rsidRPr="00336786" w:rsidRDefault="00336786" w:rsidP="00336786">
      <w:pPr>
        <w:jc w:val="both"/>
        <w:rPr>
          <w:sz w:val="20"/>
          <w:szCs w:val="20"/>
        </w:rPr>
      </w:pPr>
      <w:r w:rsidRPr="00336786">
        <w:rPr>
          <w:b/>
          <w:sz w:val="20"/>
          <w:szCs w:val="20"/>
        </w:rPr>
        <w:t>Analisi ed esplorazione delle proteine</w:t>
      </w:r>
      <w:r w:rsidRPr="00336786">
        <w:rPr>
          <w:sz w:val="20"/>
          <w:szCs w:val="20"/>
        </w:rPr>
        <w:t>. Isolamento e purificazione delle proteine. Attività specifica, purezza e resa. Lisi cellulare ed omogenizzazione. Protocolli di purificazione e frazionamento. Tecniche cromatografiche: gel-</w:t>
      </w:r>
      <w:r>
        <w:rPr>
          <w:sz w:val="20"/>
          <w:szCs w:val="20"/>
        </w:rPr>
        <w:t>fi</w:t>
      </w:r>
      <w:r w:rsidRPr="00336786">
        <w:rPr>
          <w:sz w:val="20"/>
          <w:szCs w:val="20"/>
        </w:rPr>
        <w:t xml:space="preserve">ltrazione, scambio ionico e cromatografia di affinità. Metodi spettroscopici per la determinazione della concentrazione proteica.       </w:t>
      </w:r>
    </w:p>
    <w:p w:rsidR="00336786" w:rsidRDefault="00336786" w:rsidP="00336786">
      <w:pPr>
        <w:jc w:val="both"/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51444A" w:rsidRDefault="00587DDC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45085</wp:posOffset>
                </wp:positionV>
                <wp:extent cx="6474460" cy="8336280"/>
                <wp:effectExtent l="57150" t="19050" r="78740" b="1028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4460" cy="83362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B3F3" id="Rettangolo 3" o:spid="_x0000_s1026" style="position:absolute;margin-left:-.15pt;margin-top:3.55pt;width:509.8pt;height:6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OBIETTIVI FORMATIVI</w:t>
      </w:r>
    </w:p>
    <w:p w:rsidR="00E76DB1" w:rsidRDefault="00336786" w:rsidP="00E76DB1">
      <w:pPr>
        <w:pStyle w:val="Nessunaspaziatura"/>
        <w:rPr>
          <w:sz w:val="20"/>
          <w:szCs w:val="20"/>
          <w:lang w:eastAsia="it-IT"/>
        </w:rPr>
      </w:pPr>
      <w:r w:rsidRPr="00E76DB1">
        <w:rPr>
          <w:sz w:val="20"/>
          <w:szCs w:val="20"/>
          <w:lang w:eastAsia="it-IT"/>
        </w:rPr>
        <w:t xml:space="preserve">Il corso di Biochimica </w:t>
      </w:r>
      <w:r w:rsidR="00E76DB1">
        <w:rPr>
          <w:sz w:val="20"/>
          <w:szCs w:val="20"/>
          <w:lang w:eastAsia="it-IT"/>
        </w:rPr>
        <w:t xml:space="preserve">applicata ha come obiettivo quello di fornire agli studenti basi teoriche e pratiche della ricerca scientifica condotta nel laboratorio di biochimica, orientando gli studenti verso la progettazione di indagini in area biomedica correlate allo sviluppo preclinico di nuovi potenziali farmaci. Definisce i modelli sperimentali con   </w:t>
      </w:r>
    </w:p>
    <w:p w:rsidR="00B86F80" w:rsidRDefault="00E76DB1" w:rsidP="00C24ADA">
      <w:pPr>
        <w:pStyle w:val="Nessunaspaziatura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particolare riferimento ai</w:t>
      </w:r>
      <w:r w:rsidR="00C24ADA">
        <w:rPr>
          <w:sz w:val="20"/>
          <w:szCs w:val="20"/>
          <w:lang w:eastAsia="it-IT"/>
        </w:rPr>
        <w:t xml:space="preserve"> modelli sperimentali </w:t>
      </w:r>
      <w:r w:rsidR="00C24ADA" w:rsidRPr="00287C13">
        <w:rPr>
          <w:i/>
          <w:sz w:val="20"/>
          <w:szCs w:val="20"/>
          <w:lang w:eastAsia="it-IT"/>
        </w:rPr>
        <w:t>in vitro</w:t>
      </w:r>
      <w:r w:rsidR="00C24ADA">
        <w:rPr>
          <w:sz w:val="20"/>
          <w:szCs w:val="20"/>
          <w:lang w:eastAsia="it-IT"/>
        </w:rPr>
        <w:t>, e analizza le principali tecniche analitiche e preparative utilizzate nella ricerca in campo biomedico</w:t>
      </w:r>
      <w:r w:rsidR="00ED0AFA">
        <w:rPr>
          <w:sz w:val="20"/>
          <w:szCs w:val="20"/>
          <w:lang w:eastAsia="it-IT"/>
        </w:rPr>
        <w:t xml:space="preserve"> e nello studio delle biomolecole.</w:t>
      </w:r>
    </w:p>
    <w:p w:rsidR="00C24ADA" w:rsidRPr="002169AE" w:rsidRDefault="00C24ADA" w:rsidP="00C24ADA">
      <w:pPr>
        <w:pStyle w:val="Nessunaspaziatura"/>
        <w:rPr>
          <w:rFonts w:ascii="Calibri" w:hAnsi="Calibri"/>
          <w:b/>
          <w:color w:val="000000"/>
        </w:rPr>
      </w:pPr>
    </w:p>
    <w:p w:rsidR="002B6BBE" w:rsidRPr="00B86F80" w:rsidRDefault="006E1ACB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RISULTATI DI APPRENDIMENTO ATTESI</w:t>
      </w:r>
      <w:r w:rsidR="00397866">
        <w:rPr>
          <w:rFonts w:ascii="Calibri" w:hAnsi="Calibri"/>
          <w:b/>
          <w:color w:val="000000"/>
        </w:rPr>
        <w:t xml:space="preserve"> (</w:t>
      </w:r>
      <w:r w:rsidR="00397866" w:rsidRPr="00B86F80">
        <w:rPr>
          <w:rFonts w:ascii="Calibri" w:hAnsi="Calibri"/>
          <w:b/>
          <w:color w:val="000000"/>
        </w:rPr>
        <w:t>espressi tramite i descrittori europei del titolo di studio</w:t>
      </w:r>
      <w:r w:rsidR="00397866">
        <w:rPr>
          <w:rFonts w:ascii="Calibri" w:hAnsi="Calibri"/>
          <w:b/>
          <w:color w:val="000000"/>
        </w:rPr>
        <w:t>)</w:t>
      </w:r>
    </w:p>
    <w:p w:rsidR="00B86F80" w:rsidRPr="00B86F80" w:rsidRDefault="00B86F80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Conoscenze e capacità di comprensione (knowledge and understanding)</w:t>
      </w:r>
      <w:r w:rsidR="006E1ACB" w:rsidRPr="00B86F80">
        <w:rPr>
          <w:rFonts w:ascii="Calibri" w:hAnsi="Calibri"/>
          <w:b/>
          <w:color w:val="000000"/>
        </w:rPr>
        <w:t xml:space="preserve"> </w:t>
      </w:r>
    </w:p>
    <w:p w:rsidR="0051444A" w:rsidRDefault="00C24ADA" w:rsidP="00C24ADA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>
        <w:rPr>
          <w:rFonts w:cs="Arial"/>
          <w:color w:val="000000" w:themeColor="text1"/>
          <w:sz w:val="20"/>
          <w:szCs w:val="20"/>
          <w:lang w:eastAsia="it-IT"/>
        </w:rPr>
        <w:t xml:space="preserve">Conoscenza della ricerca preclinica correlata allo sviluppo di nuovi farmaci.  Comprensione dello studio delle biomolecole mediante specifiche tecniche analitiche e preparative. Conoscenza dei principali modelli sperimentali utilizzati per sviluppare farmaci e per studiare biomolecole.  </w:t>
      </w:r>
    </w:p>
    <w:p w:rsidR="0051444A" w:rsidRPr="00B86F80" w:rsidRDefault="0051444A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di base</w:t>
      </w:r>
    </w:p>
    <w:p w:rsidR="0051444A" w:rsidRPr="00B23AC5" w:rsidRDefault="00B23AC5" w:rsidP="002B6BBE">
      <w:pPr>
        <w:rPr>
          <w:b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Biochimica e fisiologia delle </w:t>
      </w:r>
      <w:r w:rsidR="00C24ADA" w:rsidRPr="00C24ADA">
        <w:rPr>
          <w:color w:val="000000"/>
          <w:sz w:val="20"/>
          <w:szCs w:val="20"/>
        </w:rPr>
        <w:t>cellule</w:t>
      </w:r>
      <w:r>
        <w:rPr>
          <w:color w:val="000000"/>
          <w:sz w:val="20"/>
          <w:szCs w:val="20"/>
        </w:rPr>
        <w:t>,</w:t>
      </w:r>
      <w:r w:rsidR="00C24ADA">
        <w:rPr>
          <w:color w:val="000000"/>
          <w:sz w:val="20"/>
          <w:szCs w:val="20"/>
        </w:rPr>
        <w:t xml:space="preserve"> dei sistemi biologici</w:t>
      </w:r>
      <w:r>
        <w:rPr>
          <w:color w:val="000000"/>
          <w:sz w:val="20"/>
          <w:szCs w:val="20"/>
        </w:rPr>
        <w:t>, e degli organismi viventi</w:t>
      </w:r>
      <w:r w:rsidR="00C24ADA">
        <w:rPr>
          <w:color w:val="000000"/>
          <w:sz w:val="20"/>
          <w:szCs w:val="20"/>
        </w:rPr>
        <w:t xml:space="preserve">.  </w:t>
      </w:r>
      <w:r w:rsidRPr="00B23AC5">
        <w:rPr>
          <w:rFonts w:cs="Arial"/>
          <w:color w:val="000000" w:themeColor="text1"/>
          <w:sz w:val="20"/>
          <w:szCs w:val="20"/>
          <w:lang w:eastAsia="it-IT"/>
        </w:rPr>
        <w:t>Conoscenza delle biomolecole</w:t>
      </w:r>
      <w:r w:rsidR="00ED0AFA">
        <w:rPr>
          <w:rFonts w:cs="Arial"/>
          <w:color w:val="000000" w:themeColor="text1"/>
          <w:sz w:val="20"/>
          <w:szCs w:val="20"/>
          <w:lang w:eastAsia="it-IT"/>
        </w:rPr>
        <w:t xml:space="preserve">. </w:t>
      </w:r>
      <w:r>
        <w:rPr>
          <w:rFonts w:cs="Arial"/>
          <w:color w:val="000000" w:themeColor="text1"/>
          <w:sz w:val="20"/>
          <w:szCs w:val="20"/>
          <w:lang w:eastAsia="it-IT"/>
        </w:rPr>
        <w:t>Conoscenze di base di farmacologia e di chimica farmaceutica</w:t>
      </w:r>
      <w:r w:rsidR="00F50044">
        <w:rPr>
          <w:rFonts w:cs="Arial"/>
          <w:color w:val="000000" w:themeColor="text1"/>
          <w:sz w:val="20"/>
          <w:szCs w:val="20"/>
          <w:lang w:eastAsia="it-IT"/>
        </w:rPr>
        <w:t>.</w:t>
      </w:r>
      <w:r>
        <w:rPr>
          <w:rFonts w:cs="Arial"/>
          <w:color w:val="000000" w:themeColor="text1"/>
          <w:sz w:val="20"/>
          <w:szCs w:val="20"/>
          <w:lang w:eastAsia="it-IT"/>
        </w:rPr>
        <w:t xml:space="preserve"> </w:t>
      </w:r>
    </w:p>
    <w:p w:rsidR="002B6BBE" w:rsidRPr="00B23AC5" w:rsidRDefault="002B6BBE" w:rsidP="002B6BBE">
      <w:pPr>
        <w:rPr>
          <w:b/>
          <w:color w:val="000000" w:themeColor="text1"/>
          <w:sz w:val="20"/>
          <w:szCs w:val="2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caratterizzanti</w:t>
      </w:r>
    </w:p>
    <w:p w:rsidR="0051444A" w:rsidRPr="00F50044" w:rsidRDefault="00F50044" w:rsidP="002B6BBE">
      <w:pPr>
        <w:rPr>
          <w:color w:val="000000"/>
          <w:sz w:val="20"/>
          <w:szCs w:val="20"/>
        </w:rPr>
      </w:pPr>
      <w:r w:rsidRPr="00F50044">
        <w:rPr>
          <w:color w:val="000000"/>
          <w:sz w:val="20"/>
          <w:szCs w:val="20"/>
        </w:rPr>
        <w:t>Sperimentazione in campo biomedico</w:t>
      </w:r>
      <w:r>
        <w:rPr>
          <w:color w:val="000000"/>
          <w:sz w:val="20"/>
          <w:szCs w:val="20"/>
        </w:rPr>
        <w:t xml:space="preserve"> basata sull'utilizzo di modelli sperimentali cellulari. Sviluppo preclinico di nuovi farmaci. Principali tecniche analitiche e preparative per lo studio delle biomolecole.  </w:t>
      </w:r>
    </w:p>
    <w:p w:rsidR="0051444A" w:rsidRPr="00B86F80" w:rsidRDefault="0051444A" w:rsidP="002B6BBE">
      <w:pPr>
        <w:rPr>
          <w:rFonts w:ascii="Calibri" w:hAnsi="Calibri"/>
          <w:b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Conoscenze affini o integrative ad elevato contenuto professionalizzante</w:t>
      </w:r>
    </w:p>
    <w:p w:rsidR="00183C0F" w:rsidRDefault="00F50044" w:rsidP="00183C0F">
      <w:pPr>
        <w:rPr>
          <w:color w:val="000000"/>
          <w:sz w:val="20"/>
          <w:szCs w:val="20"/>
        </w:rPr>
      </w:pPr>
      <w:r w:rsidRPr="00F50044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a</w:t>
      </w:r>
      <w:r w:rsidRPr="00F50044">
        <w:rPr>
          <w:color w:val="000000"/>
          <w:sz w:val="20"/>
          <w:szCs w:val="20"/>
        </w:rPr>
        <w:t xml:space="preserve"> conoscenz</w:t>
      </w:r>
      <w:r>
        <w:rPr>
          <w:color w:val="000000"/>
          <w:sz w:val="20"/>
          <w:szCs w:val="20"/>
        </w:rPr>
        <w:t>a di modelli sperimentali, di tecniche analitiche e preparative</w:t>
      </w:r>
      <w:r w:rsidR="00183C0F">
        <w:rPr>
          <w:color w:val="000000"/>
          <w:sz w:val="20"/>
          <w:szCs w:val="20"/>
        </w:rPr>
        <w:t xml:space="preserve"> per lo studio delle biomolecole,</w:t>
      </w:r>
      <w:r>
        <w:rPr>
          <w:color w:val="000000"/>
          <w:sz w:val="20"/>
          <w:szCs w:val="20"/>
        </w:rPr>
        <w:t xml:space="preserve">  e la</w:t>
      </w:r>
      <w:r w:rsidR="00183C0F">
        <w:rPr>
          <w:color w:val="000000"/>
          <w:sz w:val="20"/>
          <w:szCs w:val="20"/>
        </w:rPr>
        <w:t xml:space="preserve"> capacità di pr</w:t>
      </w:r>
      <w:r>
        <w:rPr>
          <w:color w:val="000000"/>
          <w:sz w:val="20"/>
          <w:szCs w:val="20"/>
        </w:rPr>
        <w:t>ogetta</w:t>
      </w:r>
      <w:r w:rsidR="00183C0F">
        <w:rPr>
          <w:color w:val="000000"/>
          <w:sz w:val="20"/>
          <w:szCs w:val="20"/>
        </w:rPr>
        <w:t>re</w:t>
      </w:r>
      <w:r>
        <w:rPr>
          <w:color w:val="000000"/>
          <w:sz w:val="20"/>
          <w:szCs w:val="20"/>
        </w:rPr>
        <w:t xml:space="preserve"> indagini </w:t>
      </w:r>
      <w:r w:rsidR="00183C0F">
        <w:rPr>
          <w:color w:val="000000"/>
          <w:sz w:val="20"/>
          <w:szCs w:val="20"/>
        </w:rPr>
        <w:t xml:space="preserve">precliniche fornisce </w:t>
      </w:r>
      <w:r w:rsidRPr="00F50044">
        <w:rPr>
          <w:color w:val="000000"/>
          <w:sz w:val="20"/>
          <w:szCs w:val="20"/>
        </w:rPr>
        <w:t xml:space="preserve">le competenze </w:t>
      </w:r>
      <w:r w:rsidR="00183C0F">
        <w:rPr>
          <w:color w:val="000000"/>
          <w:sz w:val="20"/>
          <w:szCs w:val="20"/>
        </w:rPr>
        <w:t>di base per la ricerca scientifica rivolta allo sviluppo di nuovi potenziali farmaci.</w:t>
      </w:r>
    </w:p>
    <w:p w:rsidR="0051444A" w:rsidRDefault="00183C0F" w:rsidP="00183C0F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</w:t>
      </w:r>
    </w:p>
    <w:p w:rsidR="002B6BBE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applicare conoscenza e comprensione (applying knowledge and understanding)</w:t>
      </w:r>
      <w:r w:rsidR="006E1ACB" w:rsidRPr="002169AE">
        <w:rPr>
          <w:rFonts w:ascii="Calibri" w:hAnsi="Calibri"/>
          <w:color w:val="000000"/>
        </w:rPr>
        <w:t xml:space="preserve"> </w:t>
      </w:r>
    </w:p>
    <w:p w:rsidR="00183C0F" w:rsidRPr="00183C0F" w:rsidRDefault="00183C0F" w:rsidP="00183C0F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183C0F">
        <w:rPr>
          <w:rFonts w:asciiTheme="majorHAnsi" w:hAnsiTheme="majorHAnsi" w:cs="Tahoma"/>
          <w:color w:val="000000" w:themeColor="text1"/>
          <w:sz w:val="20"/>
          <w:szCs w:val="20"/>
          <w:lang w:eastAsia="it-IT"/>
        </w:rPr>
        <w:t xml:space="preserve">Gli studenti devono risultare capaci di applicare le conoscenze acquisite </w:t>
      </w:r>
      <w:r>
        <w:rPr>
          <w:rFonts w:asciiTheme="majorHAnsi" w:hAnsiTheme="majorHAnsi" w:cs="Tahoma"/>
          <w:color w:val="000000" w:themeColor="text1"/>
          <w:sz w:val="20"/>
          <w:szCs w:val="20"/>
          <w:lang w:eastAsia="it-IT"/>
        </w:rPr>
        <w:t xml:space="preserve">allo studio dei sistemi biologici e delle principali proprietà biologiche e chimico-fisiche delle biomolecole , nonchè di comprendere come progettare indagini </w:t>
      </w:r>
      <w:r w:rsidR="00ED0AFA">
        <w:rPr>
          <w:rFonts w:asciiTheme="majorHAnsi" w:hAnsiTheme="majorHAnsi" w:cs="Tahoma"/>
          <w:color w:val="000000" w:themeColor="text1"/>
          <w:sz w:val="20"/>
          <w:szCs w:val="20"/>
          <w:lang w:eastAsia="it-IT"/>
        </w:rPr>
        <w:t xml:space="preserve">scientifiche </w:t>
      </w:r>
      <w:r>
        <w:rPr>
          <w:rFonts w:asciiTheme="majorHAnsi" w:hAnsiTheme="majorHAnsi" w:cs="Tahoma"/>
          <w:color w:val="000000" w:themeColor="text1"/>
          <w:sz w:val="20"/>
          <w:szCs w:val="20"/>
          <w:lang w:eastAsia="it-IT"/>
        </w:rPr>
        <w:t>in campo biomedico</w:t>
      </w:r>
      <w:r w:rsidR="00ED0AFA">
        <w:rPr>
          <w:rFonts w:asciiTheme="majorHAnsi" w:hAnsiTheme="majorHAnsi" w:cs="Tahoma"/>
          <w:color w:val="000000" w:themeColor="text1"/>
          <w:sz w:val="20"/>
          <w:szCs w:val="20"/>
          <w:lang w:eastAsia="it-IT"/>
        </w:rPr>
        <w:t>.</w:t>
      </w:r>
      <w:r>
        <w:rPr>
          <w:rFonts w:asciiTheme="majorHAnsi" w:hAnsiTheme="majorHAnsi" w:cs="Tahoma"/>
          <w:color w:val="000000" w:themeColor="text1"/>
          <w:sz w:val="20"/>
          <w:szCs w:val="20"/>
          <w:lang w:eastAsia="it-IT"/>
        </w:rPr>
        <w:t xml:space="preserve"> </w:t>
      </w:r>
    </w:p>
    <w:p w:rsidR="00B86F80" w:rsidRPr="002169AE" w:rsidRDefault="00B86F80" w:rsidP="002B6BBE">
      <w:pPr>
        <w:rPr>
          <w:rFonts w:ascii="Calibri" w:hAnsi="Calibri"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Autonomia di giudizio (making judgements)</w:t>
      </w:r>
    </w:p>
    <w:p w:rsidR="00E6478C" w:rsidRPr="00E6478C" w:rsidRDefault="00E6478C" w:rsidP="00E6478C">
      <w:pPr>
        <w:rPr>
          <w:b/>
          <w:color w:val="000000" w:themeColor="text1"/>
          <w:sz w:val="20"/>
          <w:szCs w:val="20"/>
        </w:rPr>
      </w:pPr>
      <w:r w:rsidRPr="00E6478C">
        <w:rPr>
          <w:rFonts w:cs="Arial"/>
          <w:color w:val="000000" w:themeColor="text1"/>
          <w:sz w:val="20"/>
          <w:szCs w:val="20"/>
          <w:lang w:eastAsia="it-IT"/>
        </w:rPr>
        <w:t>L’acquisizione delle capacità di autovalutazione sarà stimola</w:t>
      </w:r>
      <w:r w:rsidR="00287C13">
        <w:rPr>
          <w:rFonts w:cs="Arial"/>
          <w:color w:val="000000" w:themeColor="text1"/>
          <w:sz w:val="20"/>
          <w:szCs w:val="20"/>
          <w:lang w:eastAsia="it-IT"/>
        </w:rPr>
        <w:t>ta</w:t>
      </w:r>
      <w:r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 </w:t>
      </w:r>
      <w:r w:rsidR="00287C13">
        <w:rPr>
          <w:rFonts w:cs="Arial"/>
          <w:color w:val="000000" w:themeColor="text1"/>
          <w:sz w:val="20"/>
          <w:szCs w:val="20"/>
          <w:lang w:eastAsia="it-IT"/>
        </w:rPr>
        <w:t xml:space="preserve">attraverso </w:t>
      </w:r>
      <w:r w:rsidRPr="00E6478C">
        <w:rPr>
          <w:rFonts w:cs="Arial"/>
          <w:color w:val="000000" w:themeColor="text1"/>
          <w:sz w:val="20"/>
          <w:szCs w:val="20"/>
          <w:lang w:eastAsia="it-IT"/>
        </w:rPr>
        <w:t>la partecipazione attiva degli studenti alle discussioni durante le lezioni</w:t>
      </w:r>
      <w:r>
        <w:rPr>
          <w:rFonts w:cs="Arial"/>
          <w:color w:val="000000" w:themeColor="text1"/>
          <w:sz w:val="20"/>
          <w:szCs w:val="20"/>
          <w:lang w:eastAsia="it-IT"/>
        </w:rPr>
        <w:t xml:space="preserve"> e nel corso delle visite guidate in laboratorio di biochimica</w:t>
      </w:r>
      <w:r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. </w:t>
      </w:r>
    </w:p>
    <w:p w:rsidR="002B6BBE" w:rsidRDefault="002B6BBE" w:rsidP="002B6BBE">
      <w:pPr>
        <w:rPr>
          <w:rFonts w:ascii="Calibri" w:hAnsi="Calibri"/>
          <w:b/>
          <w:color w:val="000000"/>
        </w:rPr>
      </w:pPr>
    </w:p>
    <w:p w:rsidR="0051444A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Abilità comunicative (communication skills)</w:t>
      </w:r>
    </w:p>
    <w:p w:rsidR="00E6478C" w:rsidRPr="00E6478C" w:rsidRDefault="006E1ACB" w:rsidP="00E6478C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  <w:lang w:eastAsia="it-IT"/>
        </w:rPr>
      </w:pPr>
      <w:r w:rsidRPr="002169AE">
        <w:rPr>
          <w:rFonts w:ascii="Calibri" w:hAnsi="Calibri"/>
          <w:color w:val="000000"/>
        </w:rPr>
        <w:t xml:space="preserve"> </w:t>
      </w:r>
      <w:r w:rsidR="00E6478C"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Le capacità di comunicazione saranno valutate durante </w:t>
      </w:r>
      <w:r w:rsidR="00ED0AFA">
        <w:rPr>
          <w:rFonts w:cs="Arial"/>
          <w:color w:val="000000" w:themeColor="text1"/>
          <w:sz w:val="20"/>
          <w:szCs w:val="20"/>
          <w:lang w:eastAsia="it-IT"/>
        </w:rPr>
        <w:t>di</w:t>
      </w:r>
      <w:r w:rsidR="00287C13">
        <w:rPr>
          <w:rFonts w:cs="Arial"/>
          <w:color w:val="000000" w:themeColor="text1"/>
          <w:sz w:val="20"/>
          <w:szCs w:val="20"/>
          <w:lang w:eastAsia="it-IT"/>
        </w:rPr>
        <w:t>scussioni</w:t>
      </w:r>
      <w:r w:rsidR="00ED0AFA">
        <w:rPr>
          <w:rFonts w:cs="Arial"/>
          <w:color w:val="000000" w:themeColor="text1"/>
          <w:sz w:val="20"/>
          <w:szCs w:val="20"/>
          <w:lang w:eastAsia="it-IT"/>
        </w:rPr>
        <w:t xml:space="preserve"> in aula e durante </w:t>
      </w:r>
      <w:r w:rsidR="00E6478C" w:rsidRPr="00E6478C">
        <w:rPr>
          <w:rFonts w:cs="Arial"/>
          <w:color w:val="000000" w:themeColor="text1"/>
          <w:sz w:val="20"/>
          <w:szCs w:val="20"/>
          <w:lang w:eastAsia="it-IT"/>
        </w:rPr>
        <w:t>la prova orale dell’esame finale</w:t>
      </w:r>
      <w:r w:rsidR="00287C13">
        <w:rPr>
          <w:rFonts w:cs="Arial"/>
          <w:color w:val="000000" w:themeColor="text1"/>
          <w:sz w:val="20"/>
          <w:szCs w:val="20"/>
          <w:lang w:eastAsia="it-IT"/>
        </w:rPr>
        <w:t>,</w:t>
      </w:r>
      <w:r w:rsidR="00E6478C"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 durante la quale lo studente dovrà esporre, con appropriata terminologia </w:t>
      </w:r>
      <w:r w:rsidR="00E6478C">
        <w:rPr>
          <w:rFonts w:cs="Arial"/>
          <w:color w:val="000000" w:themeColor="text1"/>
          <w:sz w:val="20"/>
          <w:szCs w:val="20"/>
          <w:lang w:eastAsia="it-IT"/>
        </w:rPr>
        <w:t>tecnica e bi</w:t>
      </w:r>
      <w:r w:rsidR="00E6478C" w:rsidRPr="00E6478C">
        <w:rPr>
          <w:rFonts w:cs="Arial"/>
          <w:color w:val="000000" w:themeColor="text1"/>
          <w:sz w:val="20"/>
          <w:szCs w:val="20"/>
          <w:lang w:eastAsia="it-IT"/>
        </w:rPr>
        <w:t>ochimica, gli argomenti svolti durante il corso.</w:t>
      </w:r>
    </w:p>
    <w:p w:rsidR="002B6BBE" w:rsidRPr="002169AE" w:rsidRDefault="002B6BBE" w:rsidP="002B6BBE">
      <w:pPr>
        <w:rPr>
          <w:rFonts w:ascii="Calibri" w:hAnsi="Calibri"/>
          <w:color w:val="000000"/>
        </w:rPr>
      </w:pPr>
    </w:p>
    <w:p w:rsidR="002B6BBE" w:rsidRPr="002169AE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apprendimento (learning skills)</w:t>
      </w:r>
      <w:r w:rsidR="006E1ACB" w:rsidRPr="002169AE">
        <w:rPr>
          <w:rFonts w:ascii="Calibri" w:hAnsi="Calibri"/>
          <w:color w:val="000000"/>
        </w:rPr>
        <w:t xml:space="preserve"> </w:t>
      </w:r>
    </w:p>
    <w:p w:rsidR="002B6BBE" w:rsidRPr="002169AE" w:rsidRDefault="00E6478C" w:rsidP="002B6BBE">
      <w:pPr>
        <w:rPr>
          <w:rFonts w:ascii="Calibri" w:hAnsi="Calibri"/>
          <w:color w:val="000000"/>
        </w:rPr>
      </w:pPr>
      <w:r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Le </w:t>
      </w:r>
      <w:r w:rsidR="00ED0AFA">
        <w:rPr>
          <w:rFonts w:cs="Arial"/>
          <w:color w:val="000000" w:themeColor="text1"/>
          <w:sz w:val="20"/>
          <w:szCs w:val="20"/>
          <w:lang w:eastAsia="it-IT"/>
        </w:rPr>
        <w:t xml:space="preserve">capacità di apprendimento saranno valutate durante lo svolgimento del corso coinvolgendo gli studenti in dibattiti e discussioni sugli argomenti trattati. Le </w:t>
      </w:r>
      <w:r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conoscenze acquisite durante il corso forniscono gli strumenti per comprendere </w:t>
      </w:r>
      <w:r w:rsidR="0070425B">
        <w:rPr>
          <w:rFonts w:cs="Arial"/>
          <w:color w:val="000000" w:themeColor="text1"/>
          <w:sz w:val="20"/>
          <w:szCs w:val="20"/>
          <w:lang w:eastAsia="it-IT"/>
        </w:rPr>
        <w:t xml:space="preserve">alcuni </w:t>
      </w:r>
      <w:r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argomenti che saranno trattati </w:t>
      </w:r>
      <w:r w:rsidR="00ED0AFA">
        <w:rPr>
          <w:rFonts w:cs="Arial"/>
          <w:color w:val="000000" w:themeColor="text1"/>
          <w:sz w:val="20"/>
          <w:szCs w:val="20"/>
          <w:lang w:eastAsia="it-IT"/>
        </w:rPr>
        <w:t>in</w:t>
      </w:r>
      <w:r w:rsidRPr="00E6478C">
        <w:rPr>
          <w:rFonts w:cs="Arial"/>
          <w:color w:val="000000" w:themeColor="text1"/>
          <w:sz w:val="20"/>
          <w:szCs w:val="20"/>
          <w:lang w:eastAsia="it-IT"/>
        </w:rPr>
        <w:t xml:space="preserve"> discipline oggetto di </w:t>
      </w:r>
      <w:r w:rsidR="00287C13">
        <w:rPr>
          <w:rFonts w:cs="Arial"/>
          <w:color w:val="000000" w:themeColor="text1"/>
          <w:sz w:val="20"/>
          <w:szCs w:val="20"/>
          <w:lang w:eastAsia="it-IT"/>
        </w:rPr>
        <w:t xml:space="preserve">successivi </w:t>
      </w:r>
      <w:r w:rsidRPr="00E6478C">
        <w:rPr>
          <w:rFonts w:cs="Arial"/>
          <w:color w:val="000000" w:themeColor="text1"/>
          <w:sz w:val="20"/>
          <w:szCs w:val="20"/>
          <w:lang w:eastAsia="it-IT"/>
        </w:rPr>
        <w:t>esami con un alto grado di autonomia</w:t>
      </w:r>
      <w:r w:rsidRPr="002F748E">
        <w:rPr>
          <w:rFonts w:asciiTheme="majorHAnsi" w:hAnsiTheme="majorHAnsi" w:cs="Arial"/>
          <w:color w:val="262626"/>
          <w:lang w:eastAsia="it-IT"/>
        </w:rPr>
        <w:t>.</w:t>
      </w:r>
    </w:p>
    <w:p w:rsidR="002B6BBE" w:rsidRDefault="002B6BBE" w:rsidP="002B6BBE">
      <w:pPr>
        <w:rPr>
          <w:rFonts w:ascii="Calibri" w:hAnsi="Calibri"/>
          <w:color w:val="000000"/>
        </w:rPr>
      </w:pPr>
    </w:p>
    <w:p w:rsidR="00397866" w:rsidRDefault="00397866" w:rsidP="002B6BBE">
      <w:pPr>
        <w:rPr>
          <w:rFonts w:ascii="Calibri" w:hAnsi="Calibri"/>
          <w:color w:val="000000"/>
        </w:rPr>
      </w:pPr>
    </w:p>
    <w:p w:rsidR="00397866" w:rsidRPr="002169AE" w:rsidRDefault="00397866" w:rsidP="002B6BBE">
      <w:pPr>
        <w:rPr>
          <w:rFonts w:ascii="Calibri" w:hAnsi="Calibri"/>
          <w:color w:val="000000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ED0AFA" w:rsidRDefault="00ED0AFA" w:rsidP="002B6BBE">
      <w:pPr>
        <w:rPr>
          <w:rFonts w:ascii="Calibri" w:hAnsi="Calibri"/>
          <w:b/>
          <w:color w:val="000000"/>
          <w:u w:val="single"/>
        </w:rPr>
      </w:pPr>
    </w:p>
    <w:p w:rsidR="00ED0AFA" w:rsidRDefault="00ED0AFA" w:rsidP="002B6BBE">
      <w:pPr>
        <w:rPr>
          <w:rFonts w:ascii="Calibri" w:hAnsi="Calibri"/>
          <w:b/>
          <w:color w:val="000000"/>
          <w:u w:val="single"/>
        </w:rPr>
      </w:pPr>
    </w:p>
    <w:p w:rsidR="00ED0AFA" w:rsidRDefault="00ED0AFA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587DDC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8890</wp:posOffset>
                </wp:positionV>
                <wp:extent cx="6607810" cy="3406140"/>
                <wp:effectExtent l="57150" t="19050" r="78740" b="990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810" cy="34061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A885" id="Rettangolo 4" o:spid="_x0000_s1026" style="position:absolute;margin-left:-6.85pt;margin-top:.7pt;width:520.3pt;height:26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METODI DIDATTICI/ORGANIZZAZIONE DELL’INSEGNAMENTO</w:t>
      </w:r>
    </w:p>
    <w:p w:rsidR="0070425B" w:rsidRPr="0070425B" w:rsidRDefault="0070425B" w:rsidP="0070425B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0"/>
          <w:szCs w:val="20"/>
          <w:lang w:eastAsia="it-IT"/>
        </w:rPr>
      </w:pPr>
      <w:r w:rsidRPr="0070425B">
        <w:rPr>
          <w:rFonts w:cs="Arial"/>
          <w:color w:val="000000" w:themeColor="text1"/>
          <w:sz w:val="20"/>
          <w:szCs w:val="20"/>
          <w:lang w:eastAsia="it-IT"/>
        </w:rPr>
        <w:t>Lezioni frontali con proiezione di diapositive illustrative.</w:t>
      </w:r>
      <w:r>
        <w:rPr>
          <w:rFonts w:cs="Arial"/>
          <w:color w:val="000000" w:themeColor="text1"/>
          <w:sz w:val="20"/>
          <w:szCs w:val="20"/>
          <w:lang w:eastAsia="it-IT"/>
        </w:rPr>
        <w:t xml:space="preserve"> Visite guidate in laboratorio di </w:t>
      </w:r>
      <w:r w:rsidR="00ED0AFA">
        <w:rPr>
          <w:rFonts w:cs="Arial"/>
          <w:color w:val="000000" w:themeColor="text1"/>
          <w:sz w:val="20"/>
          <w:szCs w:val="20"/>
          <w:lang w:eastAsia="it-IT"/>
        </w:rPr>
        <w:t>b</w:t>
      </w:r>
      <w:r>
        <w:rPr>
          <w:rFonts w:cs="Arial"/>
          <w:color w:val="000000" w:themeColor="text1"/>
          <w:sz w:val="20"/>
          <w:szCs w:val="20"/>
          <w:lang w:eastAsia="it-IT"/>
        </w:rPr>
        <w:t>iochimica.</w:t>
      </w:r>
    </w:p>
    <w:p w:rsidR="006E1ACB" w:rsidRDefault="006E1ACB" w:rsidP="002B6BBE">
      <w:pPr>
        <w:rPr>
          <w:rFonts w:ascii="Calibri" w:hAnsi="Calibri"/>
          <w:b/>
          <w:color w:val="000000"/>
        </w:rPr>
      </w:pPr>
    </w:p>
    <w:p w:rsidR="006E1ACB" w:rsidRDefault="006E1ACB" w:rsidP="002B6BBE">
      <w:pPr>
        <w:rPr>
          <w:rFonts w:ascii="Calibri" w:hAnsi="Calibri"/>
          <w:b/>
          <w:color w:val="000000"/>
        </w:rPr>
      </w:pPr>
    </w:p>
    <w:p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DI VERIFICA DELL’APPRENDIMENTO  (EVENTUALE PRESENZA DI PROVE IN ITINERE)</w:t>
      </w:r>
    </w:p>
    <w:p w:rsidR="00CC1C51" w:rsidRPr="0070425B" w:rsidRDefault="0070425B" w:rsidP="002B6BBE">
      <w:pPr>
        <w:rPr>
          <w:color w:val="000000" w:themeColor="text1"/>
          <w:sz w:val="20"/>
          <w:szCs w:val="20"/>
        </w:rPr>
      </w:pPr>
      <w:r w:rsidRPr="0070425B">
        <w:rPr>
          <w:color w:val="000000" w:themeColor="text1"/>
          <w:sz w:val="20"/>
          <w:szCs w:val="20"/>
        </w:rPr>
        <w:t>Dibattiti e discussioni in aula</w:t>
      </w:r>
      <w:r>
        <w:rPr>
          <w:color w:val="000000" w:themeColor="text1"/>
          <w:sz w:val="20"/>
          <w:szCs w:val="20"/>
        </w:rPr>
        <w:t>, con approfondimenti sugli argomenti trattati.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D’ESAME</w:t>
      </w:r>
    </w:p>
    <w:p w:rsidR="002B6BBE" w:rsidRPr="002169AE" w:rsidRDefault="0070425B" w:rsidP="0070425B">
      <w:pPr>
        <w:contextualSpacing/>
        <w:jc w:val="both"/>
        <w:rPr>
          <w:rFonts w:ascii="Calibri" w:hAnsi="Calibri"/>
          <w:b/>
          <w:color w:val="000000"/>
        </w:rPr>
      </w:pPr>
      <w:r w:rsidRPr="0070425B">
        <w:rPr>
          <w:rFonts w:cs="Arial"/>
          <w:color w:val="000000" w:themeColor="text1"/>
          <w:sz w:val="20"/>
          <w:szCs w:val="20"/>
          <w:lang w:eastAsia="it-IT"/>
        </w:rPr>
        <w:t xml:space="preserve">L’esame comprende una prova orale </w:t>
      </w:r>
      <w:r w:rsidRPr="0070425B">
        <w:rPr>
          <w:rFonts w:cs="Times New Roman"/>
          <w:color w:val="000000" w:themeColor="text1"/>
          <w:sz w:val="20"/>
          <w:szCs w:val="20"/>
        </w:rPr>
        <w:t xml:space="preserve">durante la quale gli studenti devono rispondere a domande </w:t>
      </w:r>
      <w:r w:rsidRPr="0070425B">
        <w:rPr>
          <w:rFonts w:cs="Arial"/>
          <w:color w:val="000000" w:themeColor="text1"/>
          <w:sz w:val="20"/>
          <w:szCs w:val="20"/>
          <w:lang w:eastAsia="it-IT"/>
        </w:rPr>
        <w:t>su argomenti contenuti nel programma del corso, dimostrando capacità di discutere gli a</w:t>
      </w:r>
      <w:r w:rsidR="000D3C69">
        <w:rPr>
          <w:rFonts w:cs="Arial"/>
          <w:color w:val="000000" w:themeColor="text1"/>
          <w:sz w:val="20"/>
          <w:szCs w:val="20"/>
          <w:lang w:eastAsia="it-IT"/>
        </w:rPr>
        <w:t>spetti</w:t>
      </w:r>
      <w:r w:rsidRPr="0070425B">
        <w:rPr>
          <w:rFonts w:cs="Arial"/>
          <w:color w:val="000000" w:themeColor="text1"/>
          <w:sz w:val="20"/>
          <w:szCs w:val="20"/>
          <w:lang w:eastAsia="it-IT"/>
        </w:rPr>
        <w:t xml:space="preserve"> trattati. </w:t>
      </w:r>
      <w:r w:rsidRPr="0070425B">
        <w:rPr>
          <w:rFonts w:cs="Times New Roman"/>
          <w:color w:val="000000" w:themeColor="text1"/>
          <w:sz w:val="20"/>
          <w:szCs w:val="20"/>
        </w:rPr>
        <w:t>Il voto è funzione della maturità e della competenza teorica e tecnica dimostrata dallo studente nell’esposizione delle risposte fornite alle domande formulate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70425B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de</w:t>
      </w:r>
      <w:r w:rsidRPr="0070425B">
        <w:rPr>
          <w:color w:val="000000"/>
          <w:sz w:val="20"/>
          <w:szCs w:val="20"/>
        </w:rPr>
        <w:t xml:space="preserve">lle </w:t>
      </w:r>
      <w:r>
        <w:rPr>
          <w:color w:val="000000"/>
          <w:sz w:val="20"/>
          <w:szCs w:val="20"/>
        </w:rPr>
        <w:t xml:space="preserve">relative </w:t>
      </w:r>
      <w:r w:rsidRPr="0070425B">
        <w:rPr>
          <w:color w:val="000000"/>
          <w:sz w:val="20"/>
          <w:szCs w:val="20"/>
        </w:rPr>
        <w:t>discussioni</w:t>
      </w:r>
      <w:r>
        <w:rPr>
          <w:color w:val="000000"/>
          <w:sz w:val="20"/>
          <w:szCs w:val="20"/>
        </w:rPr>
        <w:t>.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:rsidR="002B6BBE" w:rsidRPr="0070425B" w:rsidRDefault="0070425B" w:rsidP="002B6BBE">
      <w:pPr>
        <w:rPr>
          <w:color w:val="000000"/>
          <w:sz w:val="20"/>
          <w:szCs w:val="20"/>
        </w:rPr>
      </w:pPr>
      <w:r w:rsidRPr="0070425B">
        <w:rPr>
          <w:color w:val="000000" w:themeColor="text1"/>
          <w:sz w:val="20"/>
          <w:szCs w:val="20"/>
        </w:rPr>
        <w:t xml:space="preserve">File pdf preparati dal docente sulla base delle lezioni illustrate in aula ed inseriti nel materiale didattico a disposizione </w:t>
      </w:r>
      <w:r w:rsidR="00247DF6" w:rsidRPr="0070425B">
        <w:rPr>
          <w:color w:val="000000" w:themeColor="text1"/>
          <w:sz w:val="20"/>
          <w:szCs w:val="20"/>
        </w:rPr>
        <w:t>sul sito web personale</w:t>
      </w:r>
      <w:r w:rsidR="00247DF6">
        <w:rPr>
          <w:color w:val="000000"/>
          <w:sz w:val="20"/>
          <w:szCs w:val="20"/>
        </w:rPr>
        <w:t xml:space="preserve"> per </w:t>
      </w:r>
      <w:r w:rsidRPr="0070425B">
        <w:rPr>
          <w:color w:val="000000" w:themeColor="text1"/>
          <w:sz w:val="20"/>
          <w:szCs w:val="20"/>
        </w:rPr>
        <w:t>gli studenti del corso</w:t>
      </w:r>
      <w:r w:rsidR="00247DF6">
        <w:rPr>
          <w:color w:val="000000" w:themeColor="text1"/>
          <w:sz w:val="20"/>
          <w:szCs w:val="20"/>
        </w:rPr>
        <w:t>.</w:t>
      </w:r>
      <w:r w:rsidRPr="0070425B">
        <w:rPr>
          <w:color w:val="000000" w:themeColor="text1"/>
          <w:sz w:val="20"/>
          <w:szCs w:val="20"/>
        </w:rPr>
        <w:t xml:space="preserve"> 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9329B4" w:rsidRDefault="009329B4"/>
    <w:sectPr w:rsidR="009329B4" w:rsidSect="00397866">
      <w:pgSz w:w="11900" w:h="16840"/>
      <w:pgMar w:top="851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0558C"/>
    <w:rsid w:val="0007485C"/>
    <w:rsid w:val="000D3C69"/>
    <w:rsid w:val="00183C0F"/>
    <w:rsid w:val="00247DF6"/>
    <w:rsid w:val="00287C13"/>
    <w:rsid w:val="002B6BBE"/>
    <w:rsid w:val="00336786"/>
    <w:rsid w:val="00397866"/>
    <w:rsid w:val="00457FDC"/>
    <w:rsid w:val="004B0D39"/>
    <w:rsid w:val="0051444A"/>
    <w:rsid w:val="00562668"/>
    <w:rsid w:val="00587DDC"/>
    <w:rsid w:val="006B1541"/>
    <w:rsid w:val="006D28E8"/>
    <w:rsid w:val="006E1ACB"/>
    <w:rsid w:val="0070425B"/>
    <w:rsid w:val="00726274"/>
    <w:rsid w:val="009329B4"/>
    <w:rsid w:val="009D79FA"/>
    <w:rsid w:val="00A55B6C"/>
    <w:rsid w:val="00B23AC5"/>
    <w:rsid w:val="00B73A4A"/>
    <w:rsid w:val="00B86F80"/>
    <w:rsid w:val="00BA67C9"/>
    <w:rsid w:val="00C24ADA"/>
    <w:rsid w:val="00CC1C51"/>
    <w:rsid w:val="00E6478C"/>
    <w:rsid w:val="00E76DB1"/>
    <w:rsid w:val="00ED0AFA"/>
    <w:rsid w:val="00EE039F"/>
    <w:rsid w:val="00F50044"/>
    <w:rsid w:val="00F561F1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77CC39-E2B4-4E8A-8CBA-2AD8682C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76DB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Anna</cp:lastModifiedBy>
  <cp:revision>3</cp:revision>
  <dcterms:created xsi:type="dcterms:W3CDTF">2017-07-12T10:28:00Z</dcterms:created>
  <dcterms:modified xsi:type="dcterms:W3CDTF">2017-07-12T10:28:00Z</dcterms:modified>
</cp:coreProperties>
</file>