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E2DB2" w14:textId="58344EED" w:rsidR="0056278F" w:rsidRPr="00D7556E" w:rsidRDefault="009C0B7C" w:rsidP="0056278F">
      <w:pPr>
        <w:tabs>
          <w:tab w:val="left" w:pos="8136"/>
        </w:tabs>
        <w:rPr>
          <w:rFonts w:ascii="Titillium Web" w:hAnsi="Titillium Web"/>
        </w:rPr>
      </w:pPr>
      <w:r w:rsidRPr="001637AB">
        <w:rPr>
          <w:rFonts w:ascii="Titillium Regular Upright" w:hAnsi="Titillium Regular Upright" w:cstheme="minorHAnsi"/>
          <w:b/>
          <w:noProof/>
          <w:lang w:val="en-US"/>
        </w:rPr>
        <w:drawing>
          <wp:inline distT="0" distB="0" distL="0" distR="0" wp14:anchorId="69C4ACAB" wp14:editId="3920FC68">
            <wp:extent cx="6115050" cy="5334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6724D" w14:textId="37309613" w:rsidR="008D3024" w:rsidRPr="00FC1888" w:rsidRDefault="008D3024" w:rsidP="008D3024">
      <w:pPr>
        <w:spacing w:line="480" w:lineRule="auto"/>
        <w:jc w:val="center"/>
        <w:rPr>
          <w:rFonts w:ascii="Aptos" w:hAnsi="Aptos" w:cs="Aptos"/>
          <w:b/>
          <w:bCs/>
          <w:sz w:val="28"/>
          <w:szCs w:val="28"/>
          <w:lang w:val="en-GB"/>
        </w:rPr>
      </w:pPr>
      <w:bookmarkStart w:id="0" w:name="_Hlk195001624"/>
      <w:bookmarkStart w:id="1" w:name="_Hlk191562516"/>
      <w:bookmarkStart w:id="2" w:name="_Hlk194999032"/>
      <w:bookmarkEnd w:id="1"/>
      <w:r w:rsidRPr="00FC1888">
        <w:rPr>
          <w:rFonts w:ascii="Aptos" w:hAnsi="Aptos" w:cs="Aptos"/>
          <w:b/>
          <w:bCs/>
          <w:sz w:val="28"/>
          <w:szCs w:val="28"/>
          <w:lang w:val="en-GB"/>
        </w:rPr>
        <w:t>Progetto “Monitoring Earth's Evolution and Tectonics – MEET”</w:t>
      </w:r>
    </w:p>
    <w:p w14:paraId="62DBA9EB" w14:textId="22570517" w:rsidR="008D3024" w:rsidRPr="00FC1888" w:rsidRDefault="00E155A6" w:rsidP="008D3024">
      <w:pPr>
        <w:spacing w:line="480" w:lineRule="auto"/>
        <w:jc w:val="center"/>
        <w:rPr>
          <w:rFonts w:ascii="Aptos" w:hAnsi="Aptos" w:cs="Aptos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7EF1F1" wp14:editId="195EBF37">
            <wp:simplePos x="0" y="0"/>
            <wp:positionH relativeFrom="margin">
              <wp:posOffset>312420</wp:posOffset>
            </wp:positionH>
            <wp:positionV relativeFrom="paragraph">
              <wp:posOffset>706755</wp:posOffset>
            </wp:positionV>
            <wp:extent cx="5796280" cy="502920"/>
            <wp:effectExtent l="0" t="0" r="0" b="0"/>
            <wp:wrapTopAndBottom/>
            <wp:docPr id="171013512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3024" w:rsidRPr="00FC1888">
        <w:rPr>
          <w:rFonts w:ascii="Aptos" w:hAnsi="Aptos" w:cs="Aptos"/>
          <w:b/>
          <w:bCs/>
          <w:sz w:val="28"/>
          <w:szCs w:val="28"/>
        </w:rPr>
        <w:t>Missione 4, Componente 2, Investimento 3.1</w:t>
      </w:r>
    </w:p>
    <w:p w14:paraId="2012942F" w14:textId="77777777" w:rsidR="008D3024" w:rsidRPr="00FC1888" w:rsidRDefault="008D3024" w:rsidP="008D3024">
      <w:pPr>
        <w:spacing w:line="480" w:lineRule="auto"/>
        <w:jc w:val="center"/>
        <w:rPr>
          <w:rFonts w:ascii="Aptos" w:hAnsi="Aptos" w:cs="Aptos"/>
          <w:b/>
          <w:bCs/>
          <w:color w:val="000000"/>
          <w:sz w:val="30"/>
          <w:szCs w:val="32"/>
        </w:rPr>
      </w:pPr>
      <w:r w:rsidRPr="00FC1888">
        <w:rPr>
          <w:rFonts w:ascii="Aptos" w:hAnsi="Aptos" w:cs="Aptos"/>
          <w:b/>
          <w:bCs/>
          <w:sz w:val="28"/>
          <w:szCs w:val="28"/>
        </w:rPr>
        <w:t>Codice progetto MUR: IR0000025 - CUP UNINA: D53C22001400005</w:t>
      </w:r>
    </w:p>
    <w:bookmarkEnd w:id="0"/>
    <w:bookmarkEnd w:id="2"/>
    <w:p w14:paraId="0C9E853E" w14:textId="77777777" w:rsidR="0056278F" w:rsidRPr="00D7556E" w:rsidRDefault="0056278F" w:rsidP="0056278F">
      <w:pPr>
        <w:tabs>
          <w:tab w:val="left" w:pos="8136"/>
        </w:tabs>
        <w:jc w:val="both"/>
        <w:rPr>
          <w:rFonts w:ascii="Titillium Web" w:hAnsi="Titillium Web" w:cs="Calibri"/>
          <w:bCs/>
          <w:sz w:val="22"/>
          <w:szCs w:val="22"/>
        </w:rPr>
      </w:pPr>
    </w:p>
    <w:p w14:paraId="0AECF86D" w14:textId="77777777" w:rsidR="0056278F" w:rsidRPr="00D7556E" w:rsidRDefault="0056278F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BDD6EE" w:themeFill="accent5" w:themeFillTint="66"/>
        <w:tabs>
          <w:tab w:val="left" w:pos="3720"/>
          <w:tab w:val="right" w:pos="10205"/>
        </w:tabs>
        <w:rPr>
          <w:rFonts w:ascii="Titillium Web" w:hAnsi="Titillium Web"/>
          <w:b/>
          <w:bCs/>
          <w:iCs/>
          <w:sz w:val="32"/>
          <w:szCs w:val="32"/>
        </w:rPr>
      </w:pPr>
      <w:r w:rsidRPr="00D7556E">
        <w:rPr>
          <w:rFonts w:ascii="Titillium Web" w:hAnsi="Titillium Web"/>
          <w:b/>
          <w:bCs/>
          <w:iCs/>
        </w:rPr>
        <w:tab/>
      </w:r>
      <w:r w:rsidRPr="00D7556E">
        <w:rPr>
          <w:rFonts w:ascii="Titillium Web" w:hAnsi="Titillium Web"/>
          <w:b/>
          <w:bCs/>
          <w:iCs/>
          <w:sz w:val="32"/>
          <w:szCs w:val="32"/>
        </w:rPr>
        <w:t>ATTO DI IMPEGNO</w:t>
      </w:r>
    </w:p>
    <w:p w14:paraId="76AC1B31" w14:textId="77777777" w:rsidR="00E155A6" w:rsidRPr="00FC079A" w:rsidRDefault="00E155A6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Aptos"/>
          <w:b/>
          <w:bCs/>
        </w:rPr>
      </w:pPr>
      <w:bookmarkStart w:id="3" w:name="_Hlk195184484"/>
      <w:r w:rsidRPr="001F6AC6">
        <w:rPr>
          <w:rFonts w:ascii="Titillium Web" w:hAnsi="Titillium Web"/>
          <w:b/>
          <w:bCs/>
        </w:rPr>
        <w:t>G</w:t>
      </w:r>
      <w:r w:rsidRPr="001F6AC6">
        <w:rPr>
          <w:rFonts w:ascii="Titillium Web" w:hAnsi="Titillium Web"/>
          <w:b/>
        </w:rPr>
        <w:t xml:space="preserve">ara </w:t>
      </w:r>
      <w:r>
        <w:rPr>
          <w:rFonts w:ascii="Titillium Web" w:hAnsi="Titillium Web"/>
          <w:b/>
        </w:rPr>
        <w:t xml:space="preserve">- </w:t>
      </w:r>
      <w:r w:rsidRPr="00FC1888">
        <w:rPr>
          <w:rFonts w:ascii="Titillium Web" w:hAnsi="Titillium Web" w:cs="Aptos"/>
          <w:b/>
          <w:bCs/>
        </w:rPr>
        <w:t xml:space="preserve">Procedura aperta per la fornitura </w:t>
      </w:r>
      <w:bookmarkStart w:id="4" w:name="_Hlk195009090"/>
      <w:r w:rsidRPr="00FC1888">
        <w:rPr>
          <w:rFonts w:ascii="Titillium Web" w:hAnsi="Titillium Web" w:cs="Aptos"/>
          <w:b/>
          <w:bCs/>
        </w:rPr>
        <w:t>di</w:t>
      </w:r>
      <w:r>
        <w:rPr>
          <w:rFonts w:ascii="Titillium Web" w:hAnsi="Titillium Web" w:cs="Aptos"/>
          <w:b/>
          <w:bCs/>
        </w:rPr>
        <w:t xml:space="preserve"> </w:t>
      </w:r>
      <w:r w:rsidRPr="00CE6BD4">
        <w:rPr>
          <w:rFonts w:ascii="Titillium Web" w:hAnsi="Titillium Web" w:cs="Aptos"/>
          <w:b/>
          <w:bCs/>
        </w:rPr>
        <w:t xml:space="preserve">“Array - </w:t>
      </w:r>
      <w:proofErr w:type="spellStart"/>
      <w:r w:rsidRPr="00CE6BD4">
        <w:rPr>
          <w:rFonts w:ascii="Titillium Web" w:hAnsi="Titillium Web" w:cs="Aptos"/>
          <w:b/>
          <w:bCs/>
        </w:rPr>
        <w:t>nodes</w:t>
      </w:r>
      <w:proofErr w:type="spellEnd"/>
      <w:r w:rsidRPr="00CE6BD4">
        <w:rPr>
          <w:rFonts w:ascii="Titillium Web" w:hAnsi="Titillium Web" w:cs="Aptos"/>
          <w:b/>
          <w:bCs/>
        </w:rPr>
        <w:t xml:space="preserve"> </w:t>
      </w:r>
      <w:proofErr w:type="spellStart"/>
      <w:r w:rsidRPr="00CE6BD4">
        <w:rPr>
          <w:rFonts w:ascii="Titillium Web" w:hAnsi="Titillium Web" w:cs="Aptos"/>
          <w:b/>
          <w:bCs/>
        </w:rPr>
        <w:t>instrumentation</w:t>
      </w:r>
      <w:proofErr w:type="spellEnd"/>
      <w:r w:rsidRPr="00CE6BD4">
        <w:rPr>
          <w:rFonts w:ascii="Titillium Web" w:hAnsi="Titillium Web" w:cs="Aptos"/>
          <w:b/>
          <w:bCs/>
        </w:rPr>
        <w:t xml:space="preserve">”: </w:t>
      </w:r>
      <w:r w:rsidRPr="00FC1888">
        <w:rPr>
          <w:rFonts w:ascii="Titillium Web" w:hAnsi="Titillium Web" w:cs="Aptos"/>
          <w:b/>
          <w:bCs/>
        </w:rPr>
        <w:t>54 acquisitori sismici e</w:t>
      </w:r>
      <w:r>
        <w:rPr>
          <w:rFonts w:ascii="Titillium Web" w:hAnsi="Titillium Web" w:cs="Aptos"/>
          <w:b/>
          <w:bCs/>
        </w:rPr>
        <w:t xml:space="preserve"> </w:t>
      </w:r>
      <w:r w:rsidRPr="00FC1888">
        <w:rPr>
          <w:rFonts w:ascii="Titillium Web" w:hAnsi="Titillium Web" w:cs="Aptos"/>
          <w:b/>
          <w:bCs/>
        </w:rPr>
        <w:t xml:space="preserve">54 sensori sismici </w:t>
      </w:r>
      <w:proofErr w:type="spellStart"/>
      <w:r w:rsidRPr="00FC1888">
        <w:rPr>
          <w:rFonts w:ascii="Titillium Web" w:hAnsi="Titillium Web" w:cs="Aptos"/>
          <w:b/>
          <w:bCs/>
        </w:rPr>
        <w:t>velocimetrici</w:t>
      </w:r>
      <w:proofErr w:type="spellEnd"/>
      <w:r w:rsidRPr="00FC1888">
        <w:rPr>
          <w:rFonts w:ascii="Titillium Web" w:hAnsi="Titillium Web" w:cs="Aptos"/>
          <w:b/>
          <w:bCs/>
        </w:rPr>
        <w:t xml:space="preserve"> per </w:t>
      </w:r>
      <w:r w:rsidRPr="00FC079A">
        <w:rPr>
          <w:rFonts w:ascii="Titillium Web" w:hAnsi="Titillium Web" w:cs="Aptos"/>
          <w:b/>
          <w:bCs/>
        </w:rPr>
        <w:t xml:space="preserve">i nodi degli array relativi all’infrastruttura di ricerca “Irpinia </w:t>
      </w:r>
      <w:proofErr w:type="spellStart"/>
      <w:r w:rsidRPr="00FC079A">
        <w:rPr>
          <w:rFonts w:ascii="Titillium Web" w:hAnsi="Titillium Web" w:cs="Aptos"/>
          <w:b/>
          <w:bCs/>
        </w:rPr>
        <w:t>Near</w:t>
      </w:r>
      <w:proofErr w:type="spellEnd"/>
      <w:r w:rsidRPr="00FC079A">
        <w:rPr>
          <w:rFonts w:ascii="Titillium Web" w:hAnsi="Titillium Web" w:cs="Aptos"/>
          <w:b/>
          <w:bCs/>
        </w:rPr>
        <w:t xml:space="preserve"> Fault </w:t>
      </w:r>
      <w:proofErr w:type="spellStart"/>
      <w:r w:rsidRPr="00FC079A">
        <w:rPr>
          <w:rFonts w:ascii="Titillium Web" w:hAnsi="Titillium Web" w:cs="Aptos"/>
          <w:b/>
          <w:bCs/>
        </w:rPr>
        <w:t>Observatory</w:t>
      </w:r>
      <w:proofErr w:type="spellEnd"/>
      <w:r w:rsidRPr="00FC079A">
        <w:rPr>
          <w:rFonts w:ascii="Titillium Web" w:hAnsi="Titillium Web" w:cs="Aptos"/>
          <w:b/>
          <w:bCs/>
        </w:rPr>
        <w:t>”</w:t>
      </w:r>
      <w:bookmarkEnd w:id="4"/>
    </w:p>
    <w:p w14:paraId="0BAF49D9" w14:textId="77777777" w:rsidR="00E155A6" w:rsidRDefault="00E155A6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</w:rPr>
      </w:pPr>
    </w:p>
    <w:p w14:paraId="439C1C5D" w14:textId="5257C1B6" w:rsidR="00E155A6" w:rsidRPr="00FC079A" w:rsidRDefault="00E155A6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</w:rPr>
        <w:t xml:space="preserve">  </w:t>
      </w:r>
      <w:bookmarkStart w:id="5" w:name="_Hlk127941560"/>
      <w:r w:rsidRPr="00FC079A">
        <w:rPr>
          <w:rFonts w:ascii="Titillium Web" w:hAnsi="Titillium Web" w:cs="Calibri"/>
          <w:b/>
          <w:bCs/>
        </w:rPr>
        <w:t>Gara</w:t>
      </w:r>
      <w:bookmarkEnd w:id="5"/>
      <w:r w:rsidRPr="00FC079A">
        <w:rPr>
          <w:rFonts w:ascii="Titillium Web" w:hAnsi="Titillium Web" w:cs="Calibri"/>
          <w:b/>
          <w:bCs/>
        </w:rPr>
        <w:t xml:space="preserve"> n. __________________</w:t>
      </w:r>
    </w:p>
    <w:p w14:paraId="45E3E1BC" w14:textId="77777777" w:rsidR="00E155A6" w:rsidRDefault="00E155A6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</w:p>
    <w:p w14:paraId="56F8F579" w14:textId="2D9EF32D" w:rsidR="00E155A6" w:rsidRPr="00FC079A" w:rsidRDefault="00E155A6" w:rsidP="00E155A6">
      <w:pPr>
        <w:pBdr>
          <w:top w:val="single" w:sz="4" w:space="1" w:color="000000"/>
          <w:left w:val="single" w:sz="4" w:space="4" w:color="000000"/>
          <w:bottom w:val="single" w:sz="4" w:space="19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  <w:b/>
          <w:bCs/>
        </w:rPr>
        <w:t>CIG _____________________</w:t>
      </w:r>
    </w:p>
    <w:bookmarkEnd w:id="3"/>
    <w:p w14:paraId="4B20A844" w14:textId="77777777" w:rsidR="000A405D" w:rsidRPr="00D7556E" w:rsidRDefault="000A405D" w:rsidP="0056278F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24FFF619" w14:textId="45EE3125" w:rsidR="000262B2" w:rsidRPr="008D3024" w:rsidRDefault="000A405D" w:rsidP="00B250E1">
      <w:pPr>
        <w:tabs>
          <w:tab w:val="left" w:pos="8136"/>
        </w:tabs>
        <w:jc w:val="both"/>
        <w:rPr>
          <w:rFonts w:ascii="Titillium Web" w:hAnsi="Titillium Web" w:cs="Calibri"/>
        </w:rPr>
      </w:pPr>
      <w:r w:rsidRPr="00D7556E">
        <w:rPr>
          <w:rFonts w:ascii="Titillium Web" w:hAnsi="Titillium Web" w:cs="Tahoma"/>
        </w:rPr>
        <w:t xml:space="preserve">Il </w:t>
      </w:r>
      <w:r w:rsidRPr="008D3024">
        <w:rPr>
          <w:rFonts w:ascii="Titillium Web" w:hAnsi="Titillium Web" w:cs="Tahoma"/>
        </w:rPr>
        <w:t>sottoscritto _______________________________________[indicare generalità], Codice Fiscale ________________________, in rappresentanza dell’operatore economico (denominazione e forma giuridica) ____________________________________________________________________</w:t>
      </w:r>
      <w:r w:rsidRPr="008D3024">
        <w:rPr>
          <w:rFonts w:ascii="Titillium Web" w:hAnsi="Titillium Web" w:cs="Tahoma"/>
          <w:color w:val="000000" w:themeColor="text1"/>
        </w:rPr>
        <w:t>______________________________</w:t>
      </w:r>
      <w:r w:rsidR="009218BB" w:rsidRPr="008D3024">
        <w:rPr>
          <w:rFonts w:ascii="Titillium Web" w:hAnsi="Titillium Web" w:cs="Tahoma"/>
          <w:color w:val="000000" w:themeColor="text1"/>
        </w:rPr>
        <w:t xml:space="preserve"> </w:t>
      </w:r>
      <w:r w:rsidRPr="008D3024">
        <w:rPr>
          <w:rFonts w:ascii="Titillium Web" w:hAnsi="Titillium Web" w:cs="Tahoma"/>
          <w:color w:val="000000" w:themeColor="text1"/>
        </w:rPr>
        <w:t>partecipante (di seguito</w:t>
      </w:r>
      <w:r w:rsidR="000262B2" w:rsidRPr="008D3024">
        <w:rPr>
          <w:rFonts w:ascii="Titillium Web" w:hAnsi="Titillium Web" w:cs="Tahoma"/>
          <w:color w:val="000000" w:themeColor="text1"/>
        </w:rPr>
        <w:t xml:space="preserve"> </w:t>
      </w:r>
      <w:r w:rsidRPr="008D3024">
        <w:rPr>
          <w:rFonts w:ascii="Titillium Web" w:hAnsi="Titillium Web" w:cs="Tahoma"/>
          <w:color w:val="000000" w:themeColor="text1"/>
        </w:rPr>
        <w:t xml:space="preserve">“Concorrente”) alla </w:t>
      </w:r>
      <w:r w:rsidR="006E08BA" w:rsidRPr="008D3024">
        <w:rPr>
          <w:rFonts w:ascii="Titillium Web" w:hAnsi="Titillium Web" w:cs="Tahoma"/>
          <w:color w:val="000000" w:themeColor="text1"/>
        </w:rPr>
        <w:t>procedura di gara aperta,</w:t>
      </w:r>
      <w:r w:rsidR="007C260A" w:rsidRPr="008D3024">
        <w:rPr>
          <w:rFonts w:ascii="Titillium Web" w:hAnsi="Titillium Web" w:cs="Tahoma"/>
          <w:color w:val="000000" w:themeColor="text1"/>
        </w:rPr>
        <w:t xml:space="preserve"> Lotto __________,</w:t>
      </w:r>
      <w:r w:rsidR="006E08BA" w:rsidRPr="008D3024">
        <w:rPr>
          <w:rFonts w:ascii="Titillium Web" w:hAnsi="Titillium Web" w:cs="Tahoma"/>
          <w:color w:val="000000" w:themeColor="text1"/>
        </w:rPr>
        <w:t xml:space="preserve"> da aggiudicare con il criterio dell’offerta economicamente più vantaggiosa, ai sensi degli</w:t>
      </w:r>
      <w:r w:rsidR="007114C6" w:rsidRPr="008D3024">
        <w:rPr>
          <w:rFonts w:ascii="Titillium Web" w:hAnsi="Titillium Web" w:cs="Tahoma"/>
          <w:color w:val="000000" w:themeColor="text1"/>
        </w:rPr>
        <w:t xml:space="preserve"> </w:t>
      </w:r>
      <w:r w:rsidR="006E08BA" w:rsidRPr="008D3024">
        <w:rPr>
          <w:rFonts w:ascii="Titillium Web" w:hAnsi="Titillium Web" w:cs="Tahoma"/>
          <w:color w:val="000000" w:themeColor="text1"/>
        </w:rPr>
        <w:t>artt. 71 e 108, co. 1 d.lgs. n. 36/2023 ss.mm.ii. per la for</w:t>
      </w:r>
      <w:r w:rsidR="006E08BA" w:rsidRPr="008D3024">
        <w:rPr>
          <w:rFonts w:ascii="Titillium Web" w:hAnsi="Titillium Web" w:cs="Tahoma"/>
        </w:rPr>
        <w:t xml:space="preserve">nitura </w:t>
      </w:r>
      <w:r w:rsidR="009C0B7C" w:rsidRPr="008D3024">
        <w:rPr>
          <w:rFonts w:ascii="Titillium Web" w:hAnsi="Titillium Web" w:cs="Tahoma"/>
        </w:rPr>
        <w:t>di</w:t>
      </w:r>
      <w:r w:rsidR="00E155A6">
        <w:rPr>
          <w:rFonts w:ascii="Titillium Web" w:hAnsi="Titillium Web" w:cs="Tahoma"/>
        </w:rPr>
        <w:t xml:space="preserve"> </w:t>
      </w:r>
      <w:r w:rsidR="00E155A6">
        <w:rPr>
          <w:rFonts w:ascii="Titillium Web" w:hAnsi="Titillium Web" w:cs="Aptos"/>
        </w:rPr>
        <w:t>“</w:t>
      </w:r>
      <w:r w:rsidR="00E155A6" w:rsidRPr="00E155A6">
        <w:rPr>
          <w:rFonts w:ascii="Titillium Web" w:hAnsi="Titillium Web" w:cs="Aptos"/>
        </w:rPr>
        <w:t xml:space="preserve">Array - </w:t>
      </w:r>
      <w:proofErr w:type="spellStart"/>
      <w:r w:rsidR="00E155A6" w:rsidRPr="00E155A6">
        <w:rPr>
          <w:rFonts w:ascii="Titillium Web" w:hAnsi="Titillium Web" w:cs="Aptos"/>
        </w:rPr>
        <w:t>nodes</w:t>
      </w:r>
      <w:proofErr w:type="spellEnd"/>
      <w:r w:rsidR="00E155A6" w:rsidRPr="00E155A6">
        <w:rPr>
          <w:rFonts w:ascii="Titillium Web" w:hAnsi="Titillium Web" w:cs="Aptos"/>
        </w:rPr>
        <w:t xml:space="preserve"> </w:t>
      </w:r>
      <w:proofErr w:type="spellStart"/>
      <w:r w:rsidR="00E155A6" w:rsidRPr="00E155A6">
        <w:rPr>
          <w:rFonts w:ascii="Titillium Web" w:hAnsi="Titillium Web" w:cs="Aptos"/>
        </w:rPr>
        <w:t>instrumentation</w:t>
      </w:r>
      <w:proofErr w:type="spellEnd"/>
      <w:r w:rsidR="00E155A6" w:rsidRPr="00E155A6">
        <w:rPr>
          <w:rFonts w:ascii="Titillium Web" w:hAnsi="Titillium Web" w:cs="Aptos"/>
        </w:rPr>
        <w:t xml:space="preserve">”: </w:t>
      </w:r>
      <w:r w:rsidR="008D3024" w:rsidRPr="00E155A6">
        <w:rPr>
          <w:rFonts w:ascii="Titillium Web" w:hAnsi="Titillium Web" w:cs="Aptos"/>
        </w:rPr>
        <w:t>54 acquisitori</w:t>
      </w:r>
      <w:r w:rsidR="008D3024" w:rsidRPr="008D3024">
        <w:rPr>
          <w:rFonts w:ascii="Titillium Web" w:hAnsi="Titillium Web" w:cs="Aptos"/>
        </w:rPr>
        <w:t xml:space="preserve"> sismici e 54 sensori sismici </w:t>
      </w:r>
      <w:proofErr w:type="spellStart"/>
      <w:r w:rsidR="008D3024" w:rsidRPr="008D3024">
        <w:rPr>
          <w:rFonts w:ascii="Titillium Web" w:hAnsi="Titillium Web" w:cs="Aptos"/>
        </w:rPr>
        <w:t>velocimetrici</w:t>
      </w:r>
      <w:proofErr w:type="spellEnd"/>
      <w:r w:rsidR="008D3024" w:rsidRPr="008D3024">
        <w:rPr>
          <w:rFonts w:ascii="Titillium Web" w:hAnsi="Titillium Web" w:cs="Aptos"/>
        </w:rPr>
        <w:t xml:space="preserve"> per i nodi degli array relativi all’infrastruttura di ricerca “Irpinia </w:t>
      </w:r>
      <w:proofErr w:type="spellStart"/>
      <w:r w:rsidR="008D3024" w:rsidRPr="008D3024">
        <w:rPr>
          <w:rFonts w:ascii="Titillium Web" w:hAnsi="Titillium Web" w:cs="Aptos"/>
        </w:rPr>
        <w:t>Near</w:t>
      </w:r>
      <w:proofErr w:type="spellEnd"/>
      <w:r w:rsidR="008D3024" w:rsidRPr="008D3024">
        <w:rPr>
          <w:rFonts w:ascii="Titillium Web" w:hAnsi="Titillium Web" w:cs="Aptos"/>
        </w:rPr>
        <w:t xml:space="preserve"> Fault </w:t>
      </w:r>
      <w:proofErr w:type="spellStart"/>
      <w:r w:rsidR="008D3024" w:rsidRPr="008D3024">
        <w:rPr>
          <w:rFonts w:ascii="Titillium Web" w:hAnsi="Titillium Web" w:cs="Aptos"/>
        </w:rPr>
        <w:t>Observatory</w:t>
      </w:r>
      <w:proofErr w:type="spellEnd"/>
      <w:r w:rsidR="008D3024" w:rsidRPr="008D3024">
        <w:rPr>
          <w:rFonts w:ascii="Titillium Web" w:hAnsi="Titillium Web" w:cs="Aptos"/>
        </w:rPr>
        <w:t>”</w:t>
      </w:r>
      <w:r w:rsidR="008D3024" w:rsidRPr="008D3024">
        <w:rPr>
          <w:rFonts w:ascii="Titillium Web" w:hAnsi="Titillium Web" w:cs="Tahoma"/>
        </w:rPr>
        <w:t>,</w:t>
      </w:r>
      <w:r w:rsidR="006E08BA" w:rsidRPr="008D3024">
        <w:rPr>
          <w:rFonts w:ascii="Titillium Web" w:hAnsi="Titillium Web" w:cs="Tahoma"/>
        </w:rPr>
        <w:t xml:space="preserve"> </w:t>
      </w:r>
      <w:r w:rsidRPr="008D3024">
        <w:rPr>
          <w:rFonts w:ascii="Titillium Web" w:hAnsi="Titillium Web" w:cs="Tahoma"/>
        </w:rPr>
        <w:t xml:space="preserve">nell’ambito del progetto </w:t>
      </w:r>
      <w:r w:rsidR="008D3024" w:rsidRPr="008D3024">
        <w:rPr>
          <w:rFonts w:ascii="Titillium Web" w:hAnsi="Titillium Web" w:cs="Tahoma"/>
        </w:rPr>
        <w:t>“</w:t>
      </w:r>
      <w:r w:rsidR="008D3024" w:rsidRPr="008D3024">
        <w:rPr>
          <w:rFonts w:ascii="Titillium Web" w:hAnsi="Titillium Web" w:cs="Aptos"/>
          <w:lang w:val="en-GB"/>
        </w:rPr>
        <w:t>Monitoring Earth's Evolution and Tectonics – MEET”</w:t>
      </w:r>
      <w:r w:rsidR="007114C6" w:rsidRPr="008D3024">
        <w:rPr>
          <w:rFonts w:ascii="Titillium Web" w:hAnsi="Titillium Web" w:cs="Tahoma"/>
        </w:rPr>
        <w:t xml:space="preserve"> - </w:t>
      </w:r>
      <w:r w:rsidR="00C167B8" w:rsidRPr="008D3024">
        <w:rPr>
          <w:rFonts w:ascii="Titillium Web" w:hAnsi="Titillium Web" w:cs="Tahoma"/>
        </w:rPr>
        <w:t>CUP</w:t>
      </w:r>
      <w:r w:rsidRPr="008D3024">
        <w:rPr>
          <w:rFonts w:ascii="Titillium Web" w:hAnsi="Titillium Web" w:cs="Tahoma"/>
        </w:rPr>
        <w:t xml:space="preserve"> </w:t>
      </w:r>
      <w:r w:rsidR="008D3024" w:rsidRPr="008D3024">
        <w:rPr>
          <w:rFonts w:ascii="Titillium Web" w:hAnsi="Titillium Web" w:cs="Aptos"/>
        </w:rPr>
        <w:t>D53C22001400005</w:t>
      </w:r>
      <w:r w:rsidR="008D3024">
        <w:rPr>
          <w:rFonts w:ascii="Titillium Web" w:hAnsi="Titillium Web" w:cs="Calibri"/>
        </w:rPr>
        <w:t xml:space="preserve">, </w:t>
      </w:r>
      <w:r w:rsidR="00B250E1" w:rsidRPr="008D3024">
        <w:rPr>
          <w:rFonts w:ascii="Titillium Web" w:hAnsi="Titillium Web" w:cs="Tahoma"/>
        </w:rPr>
        <w:t xml:space="preserve">considerato che: </w:t>
      </w:r>
    </w:p>
    <w:p w14:paraId="77B276F5" w14:textId="498F0278" w:rsidR="000262B2" w:rsidRPr="00D7556E" w:rsidRDefault="009B09E5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>- con de</w:t>
      </w:r>
      <w:r w:rsidR="00E155A6">
        <w:rPr>
          <w:rFonts w:ascii="Titillium Web" w:hAnsi="Titillium Web" w:cs="Tahoma"/>
        </w:rPr>
        <w:t>cisione</w:t>
      </w:r>
      <w:r w:rsidR="006E08BA">
        <w:rPr>
          <w:rFonts w:ascii="Titillium Web" w:hAnsi="Titillium Web" w:cs="Tahoma"/>
        </w:rPr>
        <w:t xml:space="preserve"> a </w:t>
      </w:r>
      <w:r w:rsidR="006E08BA" w:rsidRPr="009C0B7C">
        <w:rPr>
          <w:rFonts w:ascii="Titillium Web" w:hAnsi="Titillium Web" w:cs="Tahoma"/>
          <w:color w:val="000000" w:themeColor="text1"/>
        </w:rPr>
        <w:t>contrarre</w:t>
      </w:r>
      <w:r w:rsidR="00D7556E" w:rsidRPr="009C0B7C">
        <w:rPr>
          <w:rFonts w:ascii="Titillium Web" w:hAnsi="Titillium Web" w:cs="Tahoma"/>
          <w:color w:val="000000" w:themeColor="text1"/>
        </w:rPr>
        <w:t xml:space="preserve"> </w:t>
      </w:r>
      <w:r w:rsidR="00E155A6" w:rsidRPr="00E155A6">
        <w:rPr>
          <w:rFonts w:ascii="Titillium Web" w:hAnsi="Titillium Web" w:cs="Tahoma"/>
          <w:color w:val="000000" w:themeColor="text1"/>
        </w:rPr>
        <w:t>PG/2025/0047964 del 10/04/2025</w:t>
      </w:r>
      <w:r w:rsidRPr="00E155A6">
        <w:rPr>
          <w:rFonts w:ascii="Titillium Web" w:hAnsi="Titillium Web" w:cs="Tahoma"/>
        </w:rPr>
        <w:t xml:space="preserve">, questa Amministrazione ha disposto di procedere all’indizione di </w:t>
      </w:r>
      <w:r w:rsidR="006E08BA" w:rsidRPr="00E155A6">
        <w:rPr>
          <w:rFonts w:ascii="Titillium Web" w:hAnsi="Titillium Web" w:cs="Tahoma"/>
        </w:rPr>
        <w:t>una procedura di gara aperta, da aggiudicare con il criterio dell’offerta economicamente più vantaggiosa, ai sensi degli</w:t>
      </w:r>
      <w:r w:rsidR="006E08BA" w:rsidRPr="006E08BA">
        <w:rPr>
          <w:rFonts w:ascii="Titillium Web" w:hAnsi="Titillium Web" w:cs="Tahoma"/>
        </w:rPr>
        <w:t xml:space="preserve"> </w:t>
      </w:r>
      <w:proofErr w:type="spellStart"/>
      <w:r w:rsidR="006E08BA" w:rsidRPr="006E08BA">
        <w:rPr>
          <w:rFonts w:ascii="Titillium Web" w:hAnsi="Titillium Web" w:cs="Tahoma"/>
        </w:rPr>
        <w:t>degli</w:t>
      </w:r>
      <w:proofErr w:type="spellEnd"/>
      <w:r w:rsidR="006E08BA" w:rsidRPr="006E08BA">
        <w:rPr>
          <w:rFonts w:ascii="Titillium Web" w:hAnsi="Titillium Web" w:cs="Tahoma"/>
        </w:rPr>
        <w:t xml:space="preserve"> artt. 71 e 108, d.lgs. n. 36/2023 ss.mm.ii. per la “</w:t>
      </w:r>
      <w:r w:rsidR="00E155A6" w:rsidRPr="00E155A6">
        <w:rPr>
          <w:rFonts w:ascii="Titillium Web" w:hAnsi="Titillium Web" w:cs="Aptos"/>
        </w:rPr>
        <w:t xml:space="preserve">fornitura di “Array - </w:t>
      </w:r>
      <w:proofErr w:type="spellStart"/>
      <w:r w:rsidR="00E155A6" w:rsidRPr="00E155A6">
        <w:rPr>
          <w:rFonts w:ascii="Titillium Web" w:hAnsi="Titillium Web" w:cs="Aptos"/>
        </w:rPr>
        <w:t>nodes</w:t>
      </w:r>
      <w:proofErr w:type="spellEnd"/>
      <w:r w:rsidR="00E155A6" w:rsidRPr="00E155A6">
        <w:rPr>
          <w:rFonts w:ascii="Titillium Web" w:hAnsi="Titillium Web" w:cs="Aptos"/>
        </w:rPr>
        <w:t xml:space="preserve"> </w:t>
      </w:r>
      <w:proofErr w:type="spellStart"/>
      <w:r w:rsidR="00E155A6" w:rsidRPr="00E155A6">
        <w:rPr>
          <w:rFonts w:ascii="Titillium Web" w:hAnsi="Titillium Web" w:cs="Aptos"/>
        </w:rPr>
        <w:t>instrumentation</w:t>
      </w:r>
      <w:proofErr w:type="spellEnd"/>
      <w:r w:rsidR="00E155A6" w:rsidRPr="00E155A6">
        <w:rPr>
          <w:rFonts w:ascii="Titillium Web" w:hAnsi="Titillium Web" w:cs="Aptos"/>
        </w:rPr>
        <w:t xml:space="preserve">”: 54 acquisitori sismici e 54 sensori sismici </w:t>
      </w:r>
      <w:proofErr w:type="spellStart"/>
      <w:r w:rsidR="00E155A6" w:rsidRPr="00E155A6">
        <w:rPr>
          <w:rFonts w:ascii="Titillium Web" w:hAnsi="Titillium Web" w:cs="Aptos"/>
        </w:rPr>
        <w:t>velocimetrici</w:t>
      </w:r>
      <w:proofErr w:type="spellEnd"/>
      <w:r w:rsidR="00E155A6" w:rsidRPr="00E155A6">
        <w:rPr>
          <w:rFonts w:ascii="Titillium Web" w:hAnsi="Titillium Web" w:cs="Aptos"/>
        </w:rPr>
        <w:t xml:space="preserve"> per i nodi degli array relativi all’infrastruttura di ricerca “Irpinia </w:t>
      </w:r>
      <w:proofErr w:type="spellStart"/>
      <w:r w:rsidR="00E155A6" w:rsidRPr="00E155A6">
        <w:rPr>
          <w:rFonts w:ascii="Titillium Web" w:hAnsi="Titillium Web" w:cs="Aptos"/>
        </w:rPr>
        <w:t>Near</w:t>
      </w:r>
      <w:proofErr w:type="spellEnd"/>
      <w:r w:rsidR="00E155A6" w:rsidRPr="00E155A6">
        <w:rPr>
          <w:rFonts w:ascii="Titillium Web" w:hAnsi="Titillium Web" w:cs="Aptos"/>
        </w:rPr>
        <w:t xml:space="preserve"> Fault </w:t>
      </w:r>
      <w:proofErr w:type="spellStart"/>
      <w:r w:rsidR="00E155A6" w:rsidRPr="00E155A6">
        <w:rPr>
          <w:rFonts w:ascii="Titillium Web" w:hAnsi="Titillium Web" w:cs="Aptos"/>
        </w:rPr>
        <w:t>Observatory</w:t>
      </w:r>
      <w:proofErr w:type="spellEnd"/>
      <w:r w:rsidR="00E155A6" w:rsidRPr="00E155A6">
        <w:rPr>
          <w:rFonts w:ascii="Titillium Web" w:hAnsi="Titillium Web" w:cs="Aptos"/>
        </w:rPr>
        <w:t>”</w:t>
      </w:r>
    </w:p>
    <w:p w14:paraId="76DD2E6E" w14:textId="77777777" w:rsidR="00E155A6" w:rsidRDefault="000262B2" w:rsidP="00E155A6">
      <w:pPr>
        <w:tabs>
          <w:tab w:val="left" w:pos="8136"/>
        </w:tabs>
        <w:jc w:val="center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con il presente Atto</w:t>
      </w:r>
    </w:p>
    <w:p w14:paraId="4E3BE7B3" w14:textId="7393597E" w:rsidR="009A27F2" w:rsidRPr="00D7556E" w:rsidRDefault="000262B2" w:rsidP="00E155A6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lastRenderedPageBreak/>
        <w:t xml:space="preserve">l’operatore identificato in epigrafe assume espressamente ed irrevocabilmente tutti – nessuno escluso – i seguenti vincoli, oneri ed impegni e, pertanto, dichiara ai sensi degli artt. 46 e 47 del D.P.R. n. 445/2000 e s.m.i., consapevole delle sanzioni penali di cui all’art. 76 del medesimo decreto: </w:t>
      </w:r>
    </w:p>
    <w:p w14:paraId="3F94FC9B" w14:textId="652C7EA5" w:rsidR="000262B2" w:rsidRPr="00D7556E" w:rsidRDefault="008A1394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1. di avere piena conoscenza della Documentazione </w:t>
      </w:r>
      <w:r w:rsidR="00CE2F62">
        <w:rPr>
          <w:rFonts w:ascii="Titillium Web" w:hAnsi="Titillium Web" w:cs="Tahoma"/>
        </w:rPr>
        <w:t>di gara</w:t>
      </w:r>
      <w:r w:rsidRPr="00D7556E">
        <w:rPr>
          <w:rFonts w:ascii="Titillium Web" w:hAnsi="Titillium Web" w:cs="Tahoma"/>
        </w:rPr>
        <w:t xml:space="preserve">, di accettarne </w:t>
      </w:r>
      <w:r w:rsidR="00186455" w:rsidRPr="00D7556E">
        <w:rPr>
          <w:rFonts w:ascii="Titillium Web" w:hAnsi="Titillium Web" w:cs="Tahoma"/>
        </w:rPr>
        <w:t xml:space="preserve">e di rispettarne </w:t>
      </w:r>
      <w:r w:rsidRPr="00D7556E">
        <w:rPr>
          <w:rFonts w:ascii="Titillium Web" w:hAnsi="Titillium Web" w:cs="Tahoma"/>
        </w:rPr>
        <w:t xml:space="preserve">tutte le </w:t>
      </w:r>
      <w:r w:rsidR="00186455" w:rsidRPr="00D7556E">
        <w:rPr>
          <w:rFonts w:ascii="Titillium Web" w:hAnsi="Titillium Web" w:cs="Tahoma"/>
        </w:rPr>
        <w:t>disposizioni</w:t>
      </w:r>
      <w:r w:rsidRPr="00D7556E">
        <w:rPr>
          <w:rFonts w:ascii="Titillium Web" w:hAnsi="Titillium Web" w:cs="Tahoma"/>
        </w:rPr>
        <w:t xml:space="preserve"> ivi contenute;</w:t>
      </w:r>
    </w:p>
    <w:p w14:paraId="7008B462" w14:textId="4DDC1397" w:rsidR="002A1A37" w:rsidRPr="00D7556E" w:rsidRDefault="002A1A37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2. di impegnarsi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(laddove occupi un numero pari o superiore a cinquanta dipendenti</w:t>
      </w:r>
      <w:r w:rsidR="002A0854" w:rsidRPr="00D7556E">
        <w:rPr>
          <w:rFonts w:ascii="Titillium Web" w:hAnsi="Titillium Web" w:cs="Tahoma"/>
        </w:rPr>
        <w:t xml:space="preserve"> e </w:t>
      </w:r>
      <w:r w:rsidR="00CF38E2" w:rsidRPr="00D7556E">
        <w:rPr>
          <w:rFonts w:ascii="Titillium Web" w:hAnsi="Titillium Web" w:cs="Tahoma"/>
        </w:rPr>
        <w:t xml:space="preserve">sia </w:t>
      </w:r>
      <w:r w:rsidR="002A0854" w:rsidRPr="00D7556E">
        <w:rPr>
          <w:rFonts w:ascii="Titillium Web" w:hAnsi="Titillium Web" w:cs="Tahoma"/>
        </w:rPr>
        <w:t>tenuto</w:t>
      </w:r>
      <w:r w:rsidRPr="00D7556E">
        <w:rPr>
          <w:rFonts w:ascii="Titillium Web" w:hAnsi="Titillium Web" w:cs="Tahoma"/>
        </w:rPr>
        <w:t xml:space="preserve"> a redigere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il rapporto sulla situazione del personale ai sensi dell’art. 46 del decreto legislativo 11 aprile 2006</w:t>
      </w:r>
      <w:r w:rsidR="002A0854" w:rsidRPr="00D7556E">
        <w:rPr>
          <w:rFonts w:ascii="Titillium Web" w:hAnsi="Titillium Web" w:cs="Tahoma"/>
        </w:rPr>
        <w:t xml:space="preserve">, n. 198), a produrre, a pena di esclusione, copia dell’ultimo rapporto redatto, con attestazione della sua conformità a quello eventualmente trasmesso alle rappresentanze sindacali aziendali e alla consigliera e al consigliere regionale di parità, ovvero, in caso di inosservanza dei termini previsti dal comma 1 del medesimo art. 46, con attestazione della sua contestuale trasmissione alle rappresentanze sindacali aziendali e alla consigliera e al consigliere regionale di parità; </w:t>
      </w:r>
    </w:p>
    <w:p w14:paraId="596477EE" w14:textId="0CB56986" w:rsidR="008A1394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</w:rPr>
        <w:t>3</w:t>
      </w:r>
      <w:r w:rsidR="008A1394" w:rsidRPr="00D7556E">
        <w:rPr>
          <w:rFonts w:ascii="Titillium Web" w:hAnsi="Titillium Web" w:cs="Tahoma"/>
        </w:rPr>
        <w:t xml:space="preserve">. </w:t>
      </w:r>
      <w:r w:rsidR="00186455" w:rsidRPr="00D7556E">
        <w:rPr>
          <w:rFonts w:ascii="Titillium Web" w:hAnsi="Titillium Web" w:cs="Tahoma"/>
        </w:rPr>
        <w:t xml:space="preserve">di impegnarsi (laddove occupi un numero pari o superiore a quindici dipendenti e non superiore a cinquanta e non sia tenuto alla redazione del rapporto sulla situazione del personale, ai sensi dell’articolo 46 del decreto legislativo 11 aprile 2006, n. 198) a consegnare, entro sei mesi </w:t>
      </w:r>
      <w:r w:rsidR="00186455" w:rsidRPr="00D7556E">
        <w:rPr>
          <w:rFonts w:ascii="Titillium Web" w:hAnsi="Titillium Web" w:cs="Tahoma"/>
          <w:iCs/>
        </w:rPr>
        <w:t>dalla conclusione del contratto,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ed a trasmettere la predetta alle rappresentanze sindacali aziendali e alla consigliera e al consigliere regionale di parità</w:t>
      </w:r>
      <w:r w:rsidR="00C044E9" w:rsidRPr="00D7556E">
        <w:rPr>
          <w:rFonts w:ascii="Titillium Web" w:hAnsi="Titillium Web" w:cs="Tahoma"/>
          <w:iCs/>
        </w:rPr>
        <w:t>, pena l’applicazione delle penali di cui all’articolo 47, comma 6 del decreto legge 31 maggio 2021 n. 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7E20C7D3" w14:textId="22A71A55" w:rsidR="002A1A37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4</w:t>
      </w:r>
      <w:r w:rsidR="002A1A37" w:rsidRPr="00D7556E">
        <w:rPr>
          <w:rFonts w:ascii="Titillium Web" w:hAnsi="Titillium Web" w:cs="Tahoma"/>
          <w:iCs/>
        </w:rPr>
        <w:t xml:space="preserve">. di impegnarsi </w:t>
      </w:r>
      <w:bookmarkStart w:id="6" w:name="_Hlk132361389"/>
      <w:r w:rsidR="002A1A37" w:rsidRPr="00D7556E">
        <w:rPr>
          <w:rFonts w:ascii="Titillium Web" w:hAnsi="Titillium Web" w:cs="Tahoma"/>
          <w:iCs/>
        </w:rPr>
        <w:t>(qualora occupi un numero pari o superiore a quindici dipendenti) a consegnare, entro sei mesi dalla conclusione del contratto, una relazione che chiarisca l'avvenuto assolvimento degli obblighi previsti a carico delle imprese dalla legge 12 marzo 1999, n. 68, e illustri eventuali sanzioni e provvedimenti imposti a carico delle imprese nel triennio precedente la data di scadenza della presentazione delle offerte. L'operatore economico è altresì tenuto a trasmettere la relazione alle rappresentanze sindacali aziendali</w:t>
      </w:r>
      <w:bookmarkEnd w:id="6"/>
      <w:r w:rsidR="00C044E9" w:rsidRPr="00D7556E">
        <w:rPr>
          <w:rFonts w:ascii="Titillium Web" w:hAnsi="Titillium Web" w:cs="Tahoma"/>
          <w:iCs/>
        </w:rPr>
        <w:t>, pena l’applicazione delle penali di cui all’art. 47, comma 6, del decreto legge 31 maggio 2021 n.77,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26CB527B" w14:textId="77777777" w:rsidR="00D7556E" w:rsidRPr="00D7556E" w:rsidRDefault="00686D9F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5. di impegnarsi (nel caso di aggiudicazione in suo favore della procedura di gara) ad assicurare</w:t>
      </w:r>
      <w:r w:rsidR="00D7556E" w:rsidRPr="00D7556E">
        <w:rPr>
          <w:rFonts w:ascii="Titillium Web" w:hAnsi="Titillium Web" w:cs="Tahoma"/>
          <w:iCs/>
        </w:rPr>
        <w:t xml:space="preserve">: </w:t>
      </w:r>
    </w:p>
    <w:p w14:paraId="3757CA75" w14:textId="4D5090AE" w:rsidR="00D7556E" w:rsidRPr="00D7556E" w:rsidRDefault="00D7556E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- una quota pari al 30% delle assunzioni necessarie per l’esecuzione del contratto o per la realizzazione di attività ad esso connesse o strumentali all’occupazione giovanile (meno di 36 anni);</w:t>
      </w:r>
    </w:p>
    <w:p w14:paraId="593EC299" w14:textId="70DA1DEC" w:rsidR="00686D9F" w:rsidRPr="00D7556E" w:rsidRDefault="00D7556E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 xml:space="preserve">- una quota pari al </w:t>
      </w:r>
      <w:r w:rsidR="00B5666E" w:rsidRPr="00B5666E">
        <w:rPr>
          <w:rFonts w:ascii="Titillium Web" w:hAnsi="Titillium Web" w:cs="Tahoma"/>
          <w:iCs/>
        </w:rPr>
        <w:t>3</w:t>
      </w:r>
      <w:r w:rsidRPr="00B5666E">
        <w:rPr>
          <w:rFonts w:ascii="Titillium Web" w:hAnsi="Titillium Web" w:cs="Tahoma"/>
          <w:iCs/>
        </w:rPr>
        <w:t>0%</w:t>
      </w:r>
      <w:r w:rsidRPr="00D7556E">
        <w:rPr>
          <w:rFonts w:ascii="Titillium Web" w:hAnsi="Titillium Web" w:cs="Tahoma"/>
          <w:iCs/>
        </w:rPr>
        <w:t xml:space="preserve"> delle assunzioni necessarie per l’esecuzione del contratto o per la realizzazione di attività ad esso connesse o strumentali all’occupazione femminile.</w:t>
      </w:r>
    </w:p>
    <w:p w14:paraId="39B38CDD" w14:textId="29A2EDCA" w:rsidR="00CF38E2" w:rsidRPr="007C260A" w:rsidRDefault="00686D9F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lastRenderedPageBreak/>
        <w:t>6</w:t>
      </w:r>
      <w:r w:rsidR="002A1A37" w:rsidRPr="00D7556E">
        <w:rPr>
          <w:rFonts w:ascii="Titillium Web" w:hAnsi="Titillium Web" w:cs="Tahoma"/>
          <w:iCs/>
        </w:rPr>
        <w:t xml:space="preserve">. di impegnarsi ad osservare gli obblighi specifici del PNRR, tra cui il principio di non arrecare un danno significativo agli obiettivi ambientali cd. “Do No </w:t>
      </w:r>
      <w:proofErr w:type="spellStart"/>
      <w:r w:rsidR="002A1A37" w:rsidRPr="00D7556E">
        <w:rPr>
          <w:rFonts w:ascii="Titillium Web" w:hAnsi="Titillium Web" w:cs="Tahoma"/>
          <w:iCs/>
        </w:rPr>
        <w:t>Significant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 </w:t>
      </w:r>
      <w:proofErr w:type="spellStart"/>
      <w:r w:rsidR="002A1A37" w:rsidRPr="00D7556E">
        <w:rPr>
          <w:rFonts w:ascii="Titillium Web" w:hAnsi="Titillium Web" w:cs="Tahoma"/>
          <w:iCs/>
        </w:rPr>
        <w:t>Harm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” (DNSH) ai sensi dell'articolo 17 del Regolamento (UE) 2020/852 del Parlamento europeo e del Consiglio del 18 giugno 2020, nonché </w:t>
      </w:r>
      <w:r w:rsidR="00CF38E2" w:rsidRPr="00D7556E">
        <w:rPr>
          <w:rFonts w:ascii="Titillium Web" w:hAnsi="Titillium Web" w:cs="Tahoma"/>
          <w:iCs/>
        </w:rPr>
        <w:t xml:space="preserve">in </w:t>
      </w:r>
      <w:r w:rsidR="00CF38E2" w:rsidRPr="007C260A">
        <w:rPr>
          <w:rFonts w:ascii="Titillium Web" w:hAnsi="Titillium Web" w:cs="Tahoma"/>
          <w:iCs/>
        </w:rPr>
        <w:t>riferimento alla</w:t>
      </w:r>
      <w:r w:rsidRPr="007C260A">
        <w:rPr>
          <w:rFonts w:ascii="Titillium Web" w:hAnsi="Titillium Web" w:cs="Tahoma"/>
          <w:iCs/>
        </w:rPr>
        <w:t xml:space="preserve"> “Guida operativa” </w:t>
      </w:r>
      <w:r w:rsidR="007C260A" w:rsidRPr="007C260A">
        <w:rPr>
          <w:rFonts w:ascii="Titillium Web" w:hAnsi="Titillium Web" w:cs="Tahoma"/>
          <w:iCs/>
        </w:rPr>
        <w:t>allegata alla Circolare MEF del 13 ottobre 2022, n. 33</w:t>
      </w:r>
      <w:r w:rsidRPr="007C260A">
        <w:rPr>
          <w:rFonts w:ascii="Titillium Web" w:hAnsi="Titillium Web" w:cs="Tahoma"/>
          <w:iCs/>
        </w:rPr>
        <w:t>.</w:t>
      </w:r>
      <w:r w:rsidRPr="00D7556E">
        <w:rPr>
          <w:rFonts w:ascii="Titillium Web" w:hAnsi="Titillium Web" w:cs="Tahoma"/>
          <w:iCs/>
        </w:rPr>
        <w:t xml:space="preserve"> </w:t>
      </w:r>
    </w:p>
    <w:p w14:paraId="7BA059D3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72A8B35B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05C89294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605F80CD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_____, il ____________</w:t>
      </w:r>
    </w:p>
    <w:p w14:paraId="4ADD1AC7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</w:p>
    <w:p w14:paraId="1F592A1F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FIRMATARIO</w:t>
      </w:r>
    </w:p>
    <w:p w14:paraId="3AB1BB55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___________</w:t>
      </w:r>
    </w:p>
    <w:p w14:paraId="4F6C7E13" w14:textId="77777777" w:rsidR="00CF38E2" w:rsidRPr="00BC43B1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firmato digitalmente</w:t>
      </w:r>
    </w:p>
    <w:p w14:paraId="30D116AC" w14:textId="77777777" w:rsidR="00CF38E2" w:rsidRPr="008A1394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sectPr w:rsidR="00CF38E2" w:rsidRPr="008A1394" w:rsidSect="00E155A6">
      <w:footerReference w:type="default" r:id="rId9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7BF6E" w14:textId="77777777" w:rsidR="00CE3CF8" w:rsidRDefault="00CE3CF8" w:rsidP="00AC4A5E">
      <w:r>
        <w:separator/>
      </w:r>
    </w:p>
  </w:endnote>
  <w:endnote w:type="continuationSeparator" w:id="0">
    <w:p w14:paraId="32FE75BF" w14:textId="77777777" w:rsidR="00CE3CF8" w:rsidRDefault="00CE3CF8" w:rsidP="00AC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charset w:val="00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680948"/>
      <w:docPartObj>
        <w:docPartGallery w:val="Page Numbers (Bottom of Page)"/>
        <w:docPartUnique/>
      </w:docPartObj>
    </w:sdtPr>
    <w:sdtEndPr/>
    <w:sdtContent>
      <w:p w14:paraId="6828DC4B" w14:textId="22B5D6B8" w:rsidR="00AC4A5E" w:rsidRDefault="00AC4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D221FC" w14:textId="77777777" w:rsidR="00AC4A5E" w:rsidRDefault="00AC4A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5BDB" w14:textId="77777777" w:rsidR="00CE3CF8" w:rsidRDefault="00CE3CF8" w:rsidP="00AC4A5E">
      <w:r>
        <w:separator/>
      </w:r>
    </w:p>
  </w:footnote>
  <w:footnote w:type="continuationSeparator" w:id="0">
    <w:p w14:paraId="3046F86C" w14:textId="77777777" w:rsidR="00CE3CF8" w:rsidRDefault="00CE3CF8" w:rsidP="00AC4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3161E"/>
    <w:multiLevelType w:val="hybridMultilevel"/>
    <w:tmpl w:val="3500A3AC"/>
    <w:lvl w:ilvl="0" w:tplc="20A0F358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C7AB1"/>
    <w:multiLevelType w:val="hybridMultilevel"/>
    <w:tmpl w:val="A04C26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60F80"/>
    <w:multiLevelType w:val="hybridMultilevel"/>
    <w:tmpl w:val="82289A56"/>
    <w:lvl w:ilvl="0" w:tplc="80468B32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51AE7"/>
    <w:multiLevelType w:val="hybridMultilevel"/>
    <w:tmpl w:val="29BA11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26461"/>
    <w:multiLevelType w:val="hybridMultilevel"/>
    <w:tmpl w:val="3266BD88"/>
    <w:lvl w:ilvl="0" w:tplc="915879BA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86944">
    <w:abstractNumId w:val="0"/>
  </w:num>
  <w:num w:numId="2" w16cid:durableId="2118981446">
    <w:abstractNumId w:val="2"/>
  </w:num>
  <w:num w:numId="3" w16cid:durableId="876894604">
    <w:abstractNumId w:val="4"/>
  </w:num>
  <w:num w:numId="4" w16cid:durableId="1941598459">
    <w:abstractNumId w:val="3"/>
  </w:num>
  <w:num w:numId="5" w16cid:durableId="1935165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78F"/>
    <w:rsid w:val="000262B2"/>
    <w:rsid w:val="000A405D"/>
    <w:rsid w:val="000C2120"/>
    <w:rsid w:val="00130C0C"/>
    <w:rsid w:val="001550D0"/>
    <w:rsid w:val="00186455"/>
    <w:rsid w:val="001D7CC3"/>
    <w:rsid w:val="00297FEA"/>
    <w:rsid w:val="002A00F0"/>
    <w:rsid w:val="002A0854"/>
    <w:rsid w:val="002A1A37"/>
    <w:rsid w:val="003205CD"/>
    <w:rsid w:val="00353A15"/>
    <w:rsid w:val="00357017"/>
    <w:rsid w:val="00373F26"/>
    <w:rsid w:val="00455E12"/>
    <w:rsid w:val="004C3F7A"/>
    <w:rsid w:val="004E0F0F"/>
    <w:rsid w:val="0056278F"/>
    <w:rsid w:val="0058109A"/>
    <w:rsid w:val="005D1A40"/>
    <w:rsid w:val="00614175"/>
    <w:rsid w:val="00686D9F"/>
    <w:rsid w:val="006A301A"/>
    <w:rsid w:val="006A70E1"/>
    <w:rsid w:val="006B6EB9"/>
    <w:rsid w:val="006D7F6F"/>
    <w:rsid w:val="006E08BA"/>
    <w:rsid w:val="006E6B4E"/>
    <w:rsid w:val="006F0414"/>
    <w:rsid w:val="007114C6"/>
    <w:rsid w:val="00747F2B"/>
    <w:rsid w:val="007513B8"/>
    <w:rsid w:val="007C260A"/>
    <w:rsid w:val="00884C7E"/>
    <w:rsid w:val="008A1394"/>
    <w:rsid w:val="008B6FD4"/>
    <w:rsid w:val="008D3024"/>
    <w:rsid w:val="008D7F9B"/>
    <w:rsid w:val="0090153D"/>
    <w:rsid w:val="00911A25"/>
    <w:rsid w:val="009218BB"/>
    <w:rsid w:val="00951EBF"/>
    <w:rsid w:val="009A27F2"/>
    <w:rsid w:val="009B09E5"/>
    <w:rsid w:val="009C0B7C"/>
    <w:rsid w:val="00A3666E"/>
    <w:rsid w:val="00A86F37"/>
    <w:rsid w:val="00AC4A5E"/>
    <w:rsid w:val="00B250E1"/>
    <w:rsid w:val="00B5666E"/>
    <w:rsid w:val="00C044E9"/>
    <w:rsid w:val="00C167B8"/>
    <w:rsid w:val="00CE2F62"/>
    <w:rsid w:val="00CE3CF8"/>
    <w:rsid w:val="00CE6972"/>
    <w:rsid w:val="00CF38E2"/>
    <w:rsid w:val="00D7556E"/>
    <w:rsid w:val="00D80B38"/>
    <w:rsid w:val="00D8158D"/>
    <w:rsid w:val="00E155A6"/>
    <w:rsid w:val="00F6227E"/>
    <w:rsid w:val="00FA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C881"/>
  <w15:chartTrackingRefBased/>
  <w15:docId w15:val="{8E2B53E8-12D6-4723-90B3-643F106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27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6278F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250E1"/>
    <w:pPr>
      <w:ind w:left="720"/>
      <w:contextualSpacing/>
    </w:pPr>
  </w:style>
  <w:style w:type="paragraph" w:customStyle="1" w:styleId="Default">
    <w:name w:val="Default"/>
    <w:rsid w:val="00CF38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Corpotesto">
    <w:name w:val="Body Text"/>
    <w:basedOn w:val="Normale"/>
    <w:link w:val="CorpotestoCarattere"/>
    <w:semiHidden/>
    <w:rsid w:val="008D3024"/>
    <w:pPr>
      <w:overflowPunct w:val="0"/>
      <w:autoSpaceDE w:val="0"/>
      <w:textAlignment w:val="baseline"/>
    </w:pPr>
    <w:rPr>
      <w:b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8D3024"/>
    <w:rPr>
      <w:rFonts w:ascii="Times New Roman" w:eastAsia="Times New Roman" w:hAnsi="Times New Roman" w:cs="Times New Roman"/>
      <w:b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CAPASSO</dc:creator>
  <cp:keywords/>
  <dc:description/>
  <cp:lastModifiedBy>GENOVEFFA DE LUCIA</cp:lastModifiedBy>
  <cp:revision>7</cp:revision>
  <cp:lastPrinted>2025-04-10T11:44:00Z</cp:lastPrinted>
  <dcterms:created xsi:type="dcterms:W3CDTF">2023-08-07T05:26:00Z</dcterms:created>
  <dcterms:modified xsi:type="dcterms:W3CDTF">2025-04-10T11:54:00Z</dcterms:modified>
</cp:coreProperties>
</file>